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813" w:rsidRDefault="00537813">
      <w:pPr>
        <w:pStyle w:val="Standard"/>
        <w:pBdr>
          <w:top w:val="none" w:sz="0" w:space="31" w:color="auto"/>
          <w:left w:val="none" w:sz="0" w:space="31" w:color="auto"/>
          <w:bottom w:val="none" w:sz="0" w:space="31" w:color="auto"/>
          <w:right w:val="none" w:sz="0" w:space="31" w:color="auto"/>
        </w:pBdr>
        <w:spacing w:line="360" w:lineRule="auto"/>
        <w:jc w:val="both"/>
        <w:rPr>
          <w:rFonts w:ascii="Georgia" w:eastAsia="Helvetica Neue" w:hAnsi="Georgia" w:cs="Helvetica Neue"/>
          <w:color w:val="000000"/>
          <w:sz w:val="20"/>
          <w:szCs w:val="20"/>
        </w:rPr>
      </w:pPr>
      <w:bookmarkStart w:id="0" w:name="_GoBack"/>
      <w:bookmarkEnd w:id="0"/>
    </w:p>
    <w:p w:rsidR="00537813" w:rsidRDefault="00912472">
      <w:pPr>
        <w:pStyle w:val="Standard"/>
        <w:snapToGrid w:val="0"/>
        <w:spacing w:line="360" w:lineRule="auto"/>
        <w:jc w:val="center"/>
      </w:pPr>
      <w:r>
        <w:rPr>
          <w:rFonts w:ascii="Georgia" w:hAnsi="Georgia" w:cs="Georgia"/>
          <w:noProof/>
          <w:lang w:eastAsia="it-IT" w:bidi="ar-SA"/>
        </w:rPr>
        <w:drawing>
          <wp:inline distT="0" distB="0" distL="0" distR="0">
            <wp:extent cx="914400" cy="1028159"/>
            <wp:effectExtent l="0" t="0" r="0" b="541"/>
            <wp:docPr id="1" name="Immagin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914400" cy="1028159"/>
                    </a:xfrm>
                    <a:prstGeom prst="rect">
                      <a:avLst/>
                    </a:prstGeom>
                    <a:noFill/>
                    <a:ln>
                      <a:noFill/>
                      <a:prstDash/>
                    </a:ln>
                  </pic:spPr>
                </pic:pic>
              </a:graphicData>
            </a:graphic>
          </wp:inline>
        </w:drawing>
      </w:r>
    </w:p>
    <w:p w:rsidR="00537813" w:rsidRDefault="00912472">
      <w:pPr>
        <w:pStyle w:val="Standard"/>
        <w:spacing w:line="360" w:lineRule="auto"/>
        <w:jc w:val="center"/>
        <w:rPr>
          <w:rFonts w:ascii="Georgia" w:hAnsi="Georgia" w:cs="Georgia"/>
          <w:b/>
          <w:sz w:val="32"/>
          <w:szCs w:val="32"/>
        </w:rPr>
      </w:pPr>
      <w:r>
        <w:rPr>
          <w:rFonts w:ascii="Georgia" w:hAnsi="Georgia" w:cs="Georgia"/>
          <w:b/>
          <w:sz w:val="32"/>
          <w:szCs w:val="32"/>
        </w:rPr>
        <w:t>Città di Castel Maggiore</w:t>
      </w:r>
    </w:p>
    <w:p w:rsidR="00537813" w:rsidRDefault="00912472">
      <w:pPr>
        <w:pStyle w:val="Standard"/>
        <w:spacing w:line="360" w:lineRule="auto"/>
        <w:jc w:val="center"/>
        <w:rPr>
          <w:rFonts w:ascii="Georgia" w:hAnsi="Georgia" w:cs="Georgia"/>
          <w:b/>
          <w:i/>
          <w:sz w:val="16"/>
          <w:szCs w:val="16"/>
        </w:rPr>
      </w:pPr>
      <w:r>
        <w:rPr>
          <w:rFonts w:ascii="Georgia" w:hAnsi="Georgia" w:cs="Georgia"/>
          <w:b/>
          <w:i/>
          <w:sz w:val="16"/>
          <w:szCs w:val="16"/>
        </w:rPr>
        <w:t>Città metropolitana di Bologna</w:t>
      </w:r>
    </w:p>
    <w:p w:rsidR="00537813" w:rsidRDefault="00537813">
      <w:pPr>
        <w:pStyle w:val="Standard"/>
        <w:pBdr>
          <w:top w:val="none" w:sz="0" w:space="31" w:color="auto"/>
          <w:left w:val="none" w:sz="0" w:space="31" w:color="auto"/>
          <w:bottom w:val="none" w:sz="0" w:space="31" w:color="auto"/>
          <w:right w:val="none" w:sz="0" w:space="31" w:color="auto"/>
        </w:pBdr>
        <w:spacing w:line="360" w:lineRule="auto"/>
        <w:jc w:val="center"/>
        <w:rPr>
          <w:rFonts w:ascii="Georgia" w:eastAsia="Helvetica Neue" w:hAnsi="Georgia" w:cs="Helvetica Neue"/>
          <w:b/>
          <w:i/>
          <w:color w:val="000000"/>
          <w:sz w:val="20"/>
          <w:szCs w:val="20"/>
        </w:rPr>
      </w:pPr>
    </w:p>
    <w:p w:rsidR="00537813" w:rsidRDefault="00537813">
      <w:pPr>
        <w:pStyle w:val="Standard"/>
        <w:pBdr>
          <w:top w:val="none" w:sz="0" w:space="31" w:color="auto"/>
          <w:left w:val="none" w:sz="0" w:space="31" w:color="auto"/>
          <w:bottom w:val="none" w:sz="0" w:space="31" w:color="auto"/>
          <w:right w:val="none" w:sz="0" w:space="31" w:color="auto"/>
        </w:pBdr>
        <w:spacing w:line="360" w:lineRule="auto"/>
        <w:jc w:val="center"/>
        <w:rPr>
          <w:rFonts w:ascii="Georgia" w:eastAsia="Helvetica Neue" w:hAnsi="Georgia" w:cs="Helvetica Neue"/>
          <w:color w:val="000000"/>
          <w:sz w:val="20"/>
          <w:szCs w:val="20"/>
        </w:rPr>
      </w:pPr>
    </w:p>
    <w:p w:rsidR="00537813" w:rsidRDefault="00537813">
      <w:pPr>
        <w:pStyle w:val="Standard"/>
        <w:pBdr>
          <w:top w:val="none" w:sz="0" w:space="31" w:color="auto"/>
          <w:left w:val="none" w:sz="0" w:space="31" w:color="auto"/>
          <w:bottom w:val="none" w:sz="0" w:space="31" w:color="auto"/>
          <w:right w:val="none" w:sz="0" w:space="31" w:color="auto"/>
        </w:pBdr>
        <w:spacing w:line="360" w:lineRule="auto"/>
        <w:jc w:val="center"/>
        <w:rPr>
          <w:rFonts w:ascii="Georgia" w:eastAsia="Helvetica Neue" w:hAnsi="Georgia" w:cs="Helvetica Neue"/>
          <w:color w:val="000000"/>
          <w:sz w:val="20"/>
          <w:szCs w:val="20"/>
        </w:rPr>
      </w:pPr>
    </w:p>
    <w:p w:rsidR="00537813" w:rsidRDefault="00537813">
      <w:pPr>
        <w:pStyle w:val="Standard"/>
        <w:pBdr>
          <w:top w:val="none" w:sz="0" w:space="31" w:color="auto"/>
          <w:left w:val="none" w:sz="0" w:space="31" w:color="auto"/>
          <w:bottom w:val="none" w:sz="0" w:space="31" w:color="auto"/>
          <w:right w:val="none" w:sz="0" w:space="31" w:color="auto"/>
        </w:pBdr>
        <w:spacing w:line="360" w:lineRule="auto"/>
        <w:jc w:val="center"/>
        <w:rPr>
          <w:rFonts w:ascii="Georgia" w:eastAsia="Times New Roman" w:hAnsi="Georgia" w:cs="Calibri"/>
          <w:b/>
          <w:color w:val="000000"/>
          <w:sz w:val="20"/>
          <w:szCs w:val="20"/>
        </w:rPr>
      </w:pPr>
    </w:p>
    <w:p w:rsidR="00537813" w:rsidRDefault="00912472">
      <w:pPr>
        <w:pStyle w:val="Titolo1"/>
        <w:spacing w:line="360" w:lineRule="auto"/>
        <w:ind w:left="0" w:firstLine="30"/>
        <w:rPr>
          <w:rFonts w:ascii="Georgia" w:hAnsi="Georgia" w:cs="Calibri"/>
        </w:rPr>
      </w:pPr>
      <w:r>
        <w:rPr>
          <w:rFonts w:ascii="Georgia" w:hAnsi="Georgia" w:cs="Calibri"/>
        </w:rPr>
        <w:t>RELAZIONE SULLA PERFORMANCE</w:t>
      </w:r>
    </w:p>
    <w:p w:rsidR="00537813" w:rsidRDefault="00912472">
      <w:pPr>
        <w:pStyle w:val="Titolo1"/>
        <w:spacing w:line="360" w:lineRule="auto"/>
        <w:ind w:left="0" w:firstLine="30"/>
        <w:rPr>
          <w:rFonts w:ascii="Georgia" w:hAnsi="Georgia" w:cs="Calibri"/>
        </w:rPr>
      </w:pPr>
      <w:r>
        <w:rPr>
          <w:rFonts w:ascii="Georgia" w:hAnsi="Georgia" w:cs="Calibri"/>
        </w:rPr>
        <w:t>2023</w:t>
      </w:r>
    </w:p>
    <w:p w:rsidR="00537813" w:rsidRDefault="00537813">
      <w:pPr>
        <w:pStyle w:val="Textbody"/>
        <w:spacing w:line="360" w:lineRule="auto"/>
        <w:ind w:left="30" w:firstLine="30"/>
        <w:rPr>
          <w:rFonts w:ascii="Georgia" w:hAnsi="Georgia"/>
        </w:rPr>
      </w:pPr>
    </w:p>
    <w:p w:rsidR="00537813" w:rsidRDefault="00912472">
      <w:pPr>
        <w:pStyle w:val="Standard"/>
        <w:pBdr>
          <w:top w:val="none" w:sz="0" w:space="31" w:color="auto"/>
          <w:left w:val="none" w:sz="0" w:space="31" w:color="auto"/>
          <w:bottom w:val="none" w:sz="0" w:space="31" w:color="auto"/>
          <w:right w:val="none" w:sz="0" w:space="31" w:color="auto"/>
        </w:pBdr>
        <w:spacing w:after="120" w:line="360" w:lineRule="auto"/>
        <w:ind w:left="709" w:right="761"/>
        <w:jc w:val="center"/>
      </w:pPr>
      <w:r>
        <w:rPr>
          <w:rFonts w:ascii="Georgia" w:eastAsia="Times New Roman" w:hAnsi="Georgia" w:cs="Calibri"/>
          <w:i/>
        </w:rPr>
        <w:t>(Art. 10, comma 1, lett. b) del D.Lgs. 150/2009)</w:t>
      </w:r>
    </w:p>
    <w:p w:rsidR="00537813" w:rsidRDefault="00537813">
      <w:pPr>
        <w:pStyle w:val="Standard"/>
        <w:pBdr>
          <w:top w:val="none" w:sz="0" w:space="31" w:color="auto"/>
          <w:left w:val="none" w:sz="0" w:space="31" w:color="auto"/>
          <w:bottom w:val="none" w:sz="0" w:space="31" w:color="auto"/>
          <w:right w:val="none" w:sz="0" w:space="31" w:color="auto"/>
        </w:pBdr>
        <w:spacing w:after="120" w:line="360" w:lineRule="auto"/>
        <w:ind w:left="709" w:right="761"/>
        <w:jc w:val="center"/>
        <w:rPr>
          <w:rFonts w:ascii="Georgia" w:hAnsi="Georgia"/>
        </w:rPr>
      </w:pPr>
    </w:p>
    <w:p w:rsidR="00537813" w:rsidRDefault="00537813">
      <w:pPr>
        <w:pStyle w:val="Standard"/>
        <w:pBdr>
          <w:top w:val="none" w:sz="0" w:space="31" w:color="auto"/>
          <w:left w:val="none" w:sz="0" w:space="31" w:color="auto"/>
          <w:bottom w:val="none" w:sz="0" w:space="31" w:color="auto"/>
          <w:right w:val="none" w:sz="0" w:space="31" w:color="auto"/>
        </w:pBdr>
        <w:spacing w:after="120" w:line="360" w:lineRule="auto"/>
        <w:ind w:left="709" w:right="761"/>
        <w:jc w:val="center"/>
        <w:rPr>
          <w:rFonts w:ascii="Georgia" w:hAnsi="Georgia"/>
        </w:rPr>
      </w:pPr>
    </w:p>
    <w:p w:rsidR="00537813" w:rsidRDefault="00537813">
      <w:pPr>
        <w:pStyle w:val="Standard"/>
        <w:pBdr>
          <w:top w:val="none" w:sz="0" w:space="31" w:color="auto"/>
          <w:left w:val="none" w:sz="0" w:space="31" w:color="auto"/>
          <w:bottom w:val="none" w:sz="0" w:space="31" w:color="auto"/>
          <w:right w:val="none" w:sz="0" w:space="31" w:color="auto"/>
        </w:pBdr>
        <w:spacing w:after="120" w:line="360" w:lineRule="auto"/>
        <w:ind w:left="709" w:right="761"/>
        <w:jc w:val="center"/>
        <w:rPr>
          <w:rFonts w:ascii="Georgia" w:hAnsi="Georgia"/>
        </w:rPr>
      </w:pPr>
    </w:p>
    <w:p w:rsidR="00537813" w:rsidRDefault="00537813">
      <w:pPr>
        <w:pStyle w:val="Standard"/>
        <w:pBdr>
          <w:top w:val="none" w:sz="0" w:space="31" w:color="auto"/>
          <w:left w:val="none" w:sz="0" w:space="31" w:color="auto"/>
          <w:bottom w:val="none" w:sz="0" w:space="31" w:color="auto"/>
          <w:right w:val="none" w:sz="0" w:space="31" w:color="auto"/>
        </w:pBdr>
        <w:spacing w:after="120" w:line="360" w:lineRule="auto"/>
        <w:ind w:left="709" w:right="761"/>
        <w:jc w:val="center"/>
        <w:rPr>
          <w:rFonts w:ascii="Georgia" w:hAnsi="Georgia"/>
        </w:rPr>
      </w:pPr>
    </w:p>
    <w:p w:rsidR="00912472" w:rsidRDefault="00912472">
      <w:pPr>
        <w:pStyle w:val="Standard"/>
        <w:pBdr>
          <w:top w:val="none" w:sz="0" w:space="31" w:color="auto"/>
          <w:left w:val="none" w:sz="0" w:space="31" w:color="auto"/>
          <w:bottom w:val="none" w:sz="0" w:space="31" w:color="auto"/>
          <w:right w:val="none" w:sz="0" w:space="31" w:color="auto"/>
        </w:pBdr>
        <w:spacing w:after="120" w:line="360" w:lineRule="auto"/>
        <w:ind w:left="709" w:right="761"/>
        <w:jc w:val="center"/>
        <w:rPr>
          <w:rFonts w:ascii="Georgia" w:hAnsi="Georgia"/>
        </w:rPr>
      </w:pPr>
    </w:p>
    <w:tbl>
      <w:tblPr>
        <w:tblW w:w="9638" w:type="dxa"/>
        <w:tblInd w:w="45" w:type="dxa"/>
        <w:tblLayout w:type="fixed"/>
        <w:tblCellMar>
          <w:left w:w="10" w:type="dxa"/>
          <w:right w:w="10" w:type="dxa"/>
        </w:tblCellMar>
        <w:tblLook w:val="0000" w:firstRow="0" w:lastRow="0" w:firstColumn="0" w:lastColumn="0" w:noHBand="0" w:noVBand="0"/>
      </w:tblPr>
      <w:tblGrid>
        <w:gridCol w:w="9638"/>
      </w:tblGrid>
      <w:tr w:rsidR="00537813">
        <w:tc>
          <w:tcPr>
            <w:tcW w:w="963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537813" w:rsidRDefault="00912472">
            <w:pPr>
              <w:pStyle w:val="TableContents"/>
              <w:jc w:val="center"/>
              <w:rPr>
                <w:rFonts w:ascii="Georgia" w:hAnsi="Georgia"/>
                <w:b/>
                <w:bCs/>
              </w:rPr>
            </w:pPr>
            <w:r>
              <w:rPr>
                <w:rFonts w:ascii="Georgia" w:hAnsi="Georgia"/>
                <w:b/>
                <w:bCs/>
              </w:rPr>
              <w:lastRenderedPageBreak/>
              <w:t>INTRODUZIONE</w:t>
            </w:r>
          </w:p>
        </w:tc>
      </w:tr>
    </w:tbl>
    <w:p w:rsidR="00537813" w:rsidRDefault="00537813">
      <w:pPr>
        <w:pStyle w:val="Standard"/>
        <w:rPr>
          <w:rFonts w:ascii="Georgia" w:hAnsi="Georgia"/>
        </w:rPr>
      </w:pPr>
    </w:p>
    <w:p w:rsidR="00537813" w:rsidRDefault="00912472">
      <w:pPr>
        <w:pStyle w:val="Testonormale"/>
        <w:spacing w:line="360" w:lineRule="auto"/>
        <w:jc w:val="both"/>
      </w:pPr>
      <w:r>
        <w:rPr>
          <w:rFonts w:ascii="Georgia" w:eastAsia="Times New Roman" w:hAnsi="Georgia" w:cs="Calibri"/>
          <w:sz w:val="24"/>
          <w:szCs w:val="24"/>
        </w:rPr>
        <w:t>Le Amministrazioni pubbliche sono tenute ad adottare, in base a quanto disposto dall</w:t>
      </w:r>
      <w:r>
        <w:rPr>
          <w:rFonts w:ascii="Georgia" w:hAnsi="Georgia"/>
          <w:sz w:val="24"/>
        </w:rPr>
        <w:t>’art. 3 del Decreto Legislativo 27 ottobre 2009, n. 150, metodi e strumenti idonei a misurare, valutare e premiare la performance individuale e quella organizzativa, secondo criteri strettamente connessi al soddisfacimento dell'interesse del destinatario dei servizi pubblici.</w:t>
      </w:r>
    </w:p>
    <w:p w:rsidR="00537813" w:rsidRDefault="00912472">
      <w:pPr>
        <w:pStyle w:val="Testonormale"/>
        <w:spacing w:line="360" w:lineRule="auto"/>
        <w:jc w:val="both"/>
      </w:pPr>
      <w:r>
        <w:rPr>
          <w:rFonts w:ascii="Georgia" w:hAnsi="Georgia"/>
          <w:sz w:val="24"/>
        </w:rPr>
        <w:t>La relazione sulla performance prevista dall’art. 10 comma 1 lettera b) del D.Lgs. 150/2009 costituisce Lo strumento mediante il quale l’Amministrazione illustra ai cittadini e a tutti altri stakeholders, interni ed esterni, i risultati ottenuti nel corso dell’anno precedente, concludendo in tal modo il ciclo di gestione della performance.</w:t>
      </w:r>
    </w:p>
    <w:p w:rsidR="00537813" w:rsidRDefault="00912472">
      <w:pPr>
        <w:pStyle w:val="Testonormale"/>
        <w:spacing w:line="360" w:lineRule="auto"/>
        <w:jc w:val="both"/>
      </w:pPr>
      <w:r>
        <w:rPr>
          <w:rFonts w:ascii="Georgia" w:eastAsia="Times New Roman" w:hAnsi="Georgia" w:cs="Calibri"/>
          <w:sz w:val="24"/>
          <w:szCs w:val="24"/>
        </w:rPr>
        <w:t xml:space="preserve">Detta relazione conclude il percorso di misurazione della performance e ha il compito di rendicontare </w:t>
      </w:r>
      <w:r>
        <w:rPr>
          <w:rFonts w:ascii="Georgia" w:hAnsi="Georgia"/>
          <w:sz w:val="24"/>
        </w:rPr>
        <w:t>i risultati realizzati alla fine di ogni anno, in termini assoluti e percentuali.</w:t>
      </w:r>
    </w:p>
    <w:p w:rsidR="00537813" w:rsidRDefault="00912472">
      <w:pPr>
        <w:pStyle w:val="Testonormale"/>
        <w:spacing w:line="360" w:lineRule="auto"/>
        <w:jc w:val="both"/>
      </w:pPr>
      <w:r>
        <w:rPr>
          <w:rFonts w:ascii="Georgia" w:hAnsi="Georgia"/>
          <w:sz w:val="24"/>
        </w:rPr>
        <w:t>Ai sensi dell’art. 14, comma 4, lettera c) e comma 6, del D.Lgs. 150/2009, la Relazione deve essere validata dal Nucleo di Valutazione quale condizione inderogabile per l’accesso agli strumenti premiali di cui al Titolo III dello stesso decreto.</w:t>
      </w:r>
    </w:p>
    <w:p w:rsidR="00537813" w:rsidRDefault="00912472">
      <w:pPr>
        <w:pStyle w:val="Testonormale"/>
        <w:spacing w:line="360" w:lineRule="auto"/>
        <w:jc w:val="both"/>
      </w:pPr>
      <w:r>
        <w:rPr>
          <w:rFonts w:ascii="Georgia" w:hAnsi="Georgia"/>
          <w:sz w:val="24"/>
        </w:rPr>
        <w:t>L’art. 4 del D.Lgs. 150/2009 ha definito il ciclo di gestione della performance che si articola nelle seguenti fasi:</w:t>
      </w:r>
    </w:p>
    <w:p w:rsidR="00537813" w:rsidRDefault="00912472">
      <w:pPr>
        <w:pStyle w:val="Testonormale"/>
        <w:spacing w:line="360" w:lineRule="auto"/>
        <w:jc w:val="both"/>
        <w:rPr>
          <w:rFonts w:ascii="Georgia" w:hAnsi="Georgia"/>
          <w:sz w:val="24"/>
        </w:rPr>
      </w:pPr>
      <w:r>
        <w:rPr>
          <w:rFonts w:ascii="Georgia" w:hAnsi="Georgia"/>
          <w:sz w:val="24"/>
        </w:rPr>
        <w:t>. Definizione ed assegnazione degli obiettivi;</w:t>
      </w:r>
    </w:p>
    <w:p w:rsidR="00537813" w:rsidRDefault="00912472">
      <w:pPr>
        <w:pStyle w:val="Testonormale"/>
        <w:spacing w:line="360" w:lineRule="auto"/>
        <w:jc w:val="both"/>
        <w:rPr>
          <w:rFonts w:ascii="Georgia" w:hAnsi="Georgia"/>
          <w:sz w:val="24"/>
        </w:rPr>
      </w:pPr>
      <w:r>
        <w:rPr>
          <w:rFonts w:ascii="Georgia" w:hAnsi="Georgia"/>
          <w:sz w:val="24"/>
        </w:rPr>
        <w:t>. Collegamento tra obiettivi e risorse;</w:t>
      </w:r>
    </w:p>
    <w:p w:rsidR="00537813" w:rsidRDefault="00912472">
      <w:pPr>
        <w:pStyle w:val="Testonormale"/>
        <w:spacing w:line="360" w:lineRule="auto"/>
        <w:jc w:val="both"/>
        <w:rPr>
          <w:rFonts w:ascii="Georgia" w:hAnsi="Georgia"/>
          <w:sz w:val="24"/>
        </w:rPr>
      </w:pPr>
      <w:r>
        <w:rPr>
          <w:rFonts w:ascii="Georgia" w:hAnsi="Georgia"/>
          <w:sz w:val="24"/>
        </w:rPr>
        <w:t>. Monitoraggio in corso di esercizio;</w:t>
      </w:r>
    </w:p>
    <w:p w:rsidR="00537813" w:rsidRDefault="00912472">
      <w:pPr>
        <w:pStyle w:val="Testonormale"/>
        <w:spacing w:line="360" w:lineRule="auto"/>
        <w:jc w:val="both"/>
        <w:rPr>
          <w:rFonts w:ascii="Georgia" w:hAnsi="Georgia"/>
          <w:sz w:val="24"/>
        </w:rPr>
      </w:pPr>
      <w:r>
        <w:rPr>
          <w:rFonts w:ascii="Georgia" w:hAnsi="Georgia"/>
          <w:sz w:val="24"/>
        </w:rPr>
        <w:t>. Misurazione e valutazione della performance organizzativa ed individuale;</w:t>
      </w:r>
    </w:p>
    <w:p w:rsidR="00537813" w:rsidRDefault="00912472">
      <w:pPr>
        <w:pStyle w:val="Testonormale"/>
        <w:spacing w:line="360" w:lineRule="auto"/>
        <w:jc w:val="both"/>
        <w:rPr>
          <w:rFonts w:ascii="Georgia" w:hAnsi="Georgia"/>
          <w:sz w:val="24"/>
        </w:rPr>
      </w:pPr>
      <w:r>
        <w:rPr>
          <w:rFonts w:ascii="Georgia" w:hAnsi="Georgia"/>
          <w:sz w:val="24"/>
        </w:rPr>
        <w:t>. Utilizzo dei sistemi premianti;</w:t>
      </w:r>
    </w:p>
    <w:p w:rsidR="00537813" w:rsidRDefault="00912472">
      <w:pPr>
        <w:pStyle w:val="Testonormale"/>
        <w:spacing w:line="360" w:lineRule="auto"/>
        <w:jc w:val="both"/>
      </w:pPr>
      <w:r>
        <w:rPr>
          <w:rFonts w:ascii="Georgia" w:hAnsi="Georgia"/>
          <w:sz w:val="24"/>
        </w:rPr>
        <w:t>. Rendicontazione dei risultati ottenuti a consuntivo agli organi di indirizzo politico – a</w:t>
      </w:r>
      <w:r>
        <w:rPr>
          <w:rFonts w:ascii="Georgia" w:hAnsi="Georgia"/>
          <w:sz w:val="24"/>
        </w:rPr>
        <w:t>m</w:t>
      </w:r>
      <w:r>
        <w:rPr>
          <w:rFonts w:ascii="Georgia" w:hAnsi="Georgia"/>
          <w:sz w:val="24"/>
        </w:rPr>
        <w:t>ministrativo, nonché ai cittadini, agli utenti e ai destinatari dei servizi e lo strumento è c</w:t>
      </w:r>
      <w:r>
        <w:rPr>
          <w:rFonts w:ascii="Georgia" w:hAnsi="Georgia"/>
          <w:sz w:val="24"/>
        </w:rPr>
        <w:t>o</w:t>
      </w:r>
      <w:r>
        <w:rPr>
          <w:rFonts w:ascii="Georgia" w:hAnsi="Georgia"/>
          <w:sz w:val="24"/>
        </w:rPr>
        <w:t>stituito dalla presente relazione.</w:t>
      </w:r>
    </w:p>
    <w:p w:rsidR="00537813" w:rsidRDefault="00537813">
      <w:pPr>
        <w:pStyle w:val="Standard"/>
        <w:rPr>
          <w:rFonts w:ascii="Georgia" w:hAnsi="Georgia"/>
        </w:rPr>
      </w:pPr>
    </w:p>
    <w:p w:rsidR="00537813" w:rsidRDefault="00912472">
      <w:pPr>
        <w:pStyle w:val="Testonormale"/>
        <w:spacing w:line="360" w:lineRule="auto"/>
        <w:jc w:val="both"/>
      </w:pPr>
      <w:r>
        <w:rPr>
          <w:rFonts w:ascii="Georgia" w:hAnsi="Georgia"/>
          <w:sz w:val="24"/>
        </w:rPr>
        <w:t>In occasione dell’approvazione del Piao – sez. 2.2 Piano della performance, la Giunta c</w:t>
      </w:r>
      <w:r>
        <w:rPr>
          <w:rFonts w:ascii="Georgia" w:hAnsi="Georgia"/>
          <w:sz w:val="24"/>
        </w:rPr>
        <w:t>o</w:t>
      </w:r>
      <w:r>
        <w:rPr>
          <w:rFonts w:ascii="Georgia" w:hAnsi="Georgia"/>
          <w:sz w:val="24"/>
        </w:rPr>
        <w:t>munale, nel corso dei periodi amministrativi di operatività, ha assegnato ai Settori in cui l’Ente è articolato obiettivi correlati agli atti di programmazione, avendo come riferimento il Bilancio di previsione, gli indirizzi programmatici dell’Amministrazione di volta in volta calati nella realtà normativa e finanziaria dell' Ente e il Dup e traducendo i diversi processi in specifici atti amministrativi che, per l’annualità 2023, possono essere riassunti, anco</w:t>
      </w:r>
      <w:r>
        <w:rPr>
          <w:rFonts w:ascii="Georgia" w:hAnsi="Georgia"/>
          <w:sz w:val="24"/>
        </w:rPr>
        <w:t>r</w:t>
      </w:r>
      <w:r>
        <w:rPr>
          <w:rFonts w:ascii="Georgia" w:hAnsi="Georgia"/>
          <w:sz w:val="24"/>
        </w:rPr>
        <w:t>ché in maniera non esaustiva nei seguenti atti, reperibili nella sezione “Amministrazione Trasparente” del sito internet istituzionale del Comune, ai sensi del D. Lgs. 33/2013:</w:t>
      </w:r>
    </w:p>
    <w:p w:rsidR="00537813" w:rsidRDefault="00537813">
      <w:pPr>
        <w:pStyle w:val="Standard"/>
        <w:jc w:val="both"/>
        <w:rPr>
          <w:rFonts w:ascii="Georgia" w:hAnsi="Georgia"/>
        </w:rPr>
      </w:pPr>
    </w:p>
    <w:p w:rsidR="00537813" w:rsidRDefault="00912472">
      <w:pPr>
        <w:pStyle w:val="Standard"/>
        <w:autoSpaceDE w:val="0"/>
        <w:spacing w:line="360" w:lineRule="auto"/>
        <w:jc w:val="both"/>
        <w:rPr>
          <w:rFonts w:ascii="Georgia" w:hAnsi="Georgia" w:cs="Arial"/>
          <w:color w:val="000000"/>
          <w:lang w:eastAsia="it-IT"/>
        </w:rPr>
      </w:pPr>
      <w:r>
        <w:rPr>
          <w:rFonts w:ascii="Georgia" w:hAnsi="Georgia" w:cs="Arial"/>
          <w:color w:val="000000"/>
          <w:lang w:eastAsia="it-IT"/>
        </w:rPr>
        <w:t>- Linee programmatiche di mandato: deliberazione di Consiglio Comunale n. 49 del 16/10/2019;</w:t>
      </w:r>
    </w:p>
    <w:p w:rsidR="00537813" w:rsidRDefault="00912472">
      <w:pPr>
        <w:pStyle w:val="Standard"/>
        <w:autoSpaceDE w:val="0"/>
        <w:spacing w:line="360" w:lineRule="auto"/>
        <w:jc w:val="both"/>
        <w:rPr>
          <w:rFonts w:ascii="Georgia" w:hAnsi="Georgia" w:cs="Arial"/>
          <w:color w:val="000000"/>
          <w:lang w:eastAsia="it-IT"/>
        </w:rPr>
      </w:pPr>
      <w:r>
        <w:rPr>
          <w:rFonts w:ascii="Georgia" w:hAnsi="Georgia" w:cs="Arial"/>
          <w:color w:val="000000"/>
          <w:lang w:eastAsia="it-IT"/>
        </w:rPr>
        <w:lastRenderedPageBreak/>
        <w:t>- Nota di aggiornamento del DUP Documento Unico di Programmazione 2023-2025: deliberazione di Consiglio Comunale n. 60 del 21/12/2022;</w:t>
      </w:r>
    </w:p>
    <w:p w:rsidR="00537813" w:rsidRDefault="00912472">
      <w:pPr>
        <w:pStyle w:val="Standard"/>
        <w:autoSpaceDE w:val="0"/>
        <w:spacing w:line="360" w:lineRule="auto"/>
        <w:jc w:val="both"/>
        <w:rPr>
          <w:rFonts w:ascii="Georgia" w:hAnsi="Georgia" w:cs="Arial"/>
          <w:color w:val="000000"/>
          <w:lang w:eastAsia="it-IT"/>
        </w:rPr>
      </w:pPr>
      <w:r>
        <w:rPr>
          <w:rFonts w:ascii="Georgia" w:hAnsi="Georgia" w:cs="Arial"/>
          <w:color w:val="000000"/>
          <w:lang w:eastAsia="it-IT"/>
        </w:rPr>
        <w:t>- Bilancio di previsione 2023/2025: deliberazione di Consiglio Comunale n. 61 del 21/12/2022;</w:t>
      </w:r>
    </w:p>
    <w:p w:rsidR="00537813" w:rsidRDefault="00912472">
      <w:pPr>
        <w:pStyle w:val="Standard"/>
        <w:autoSpaceDE w:val="0"/>
        <w:spacing w:line="360" w:lineRule="auto"/>
        <w:jc w:val="both"/>
      </w:pPr>
      <w:r>
        <w:rPr>
          <w:rFonts w:ascii="Georgia" w:hAnsi="Georgia" w:cs="Arial"/>
          <w:color w:val="000000"/>
          <w:lang w:eastAsia="it-IT"/>
        </w:rPr>
        <w:t xml:space="preserve">- Piano esecutivo di gestione </w:t>
      </w:r>
      <w:r>
        <w:rPr>
          <w:rFonts w:ascii="Calibri" w:hAnsi="Calibri" w:cs="Calibri"/>
          <w:color w:val="000000"/>
          <w:lang w:eastAsia="it-IT"/>
        </w:rPr>
        <w:t>–</w:t>
      </w:r>
      <w:r>
        <w:rPr>
          <w:rFonts w:ascii="Georgia" w:hAnsi="Georgia" w:cs="Arial"/>
          <w:color w:val="000000"/>
          <w:lang w:eastAsia="it-IT"/>
        </w:rPr>
        <w:t xml:space="preserve"> parte contabile: deliberazione di Giunta comunale 176 del 23/12/2022;</w:t>
      </w:r>
    </w:p>
    <w:p w:rsidR="00537813" w:rsidRDefault="00912472">
      <w:pPr>
        <w:pStyle w:val="Standard"/>
        <w:autoSpaceDE w:val="0"/>
        <w:spacing w:line="360" w:lineRule="auto"/>
        <w:jc w:val="both"/>
        <w:rPr>
          <w:rFonts w:ascii="Georgia" w:hAnsi="Georgia" w:cs="Arial"/>
          <w:color w:val="000000"/>
          <w:lang w:eastAsia="it-IT"/>
        </w:rPr>
      </w:pPr>
      <w:r>
        <w:rPr>
          <w:rFonts w:ascii="Georgia" w:hAnsi="Georgia" w:cs="Arial"/>
          <w:color w:val="000000"/>
          <w:lang w:eastAsia="it-IT"/>
        </w:rPr>
        <w:t>- Piano Integrato di Attività e Organizzazione (PIAO): deliberazione di Giunta comunale n. 30 del 24/02/2023;</w:t>
      </w:r>
    </w:p>
    <w:p w:rsidR="00537813" w:rsidRDefault="00912472">
      <w:pPr>
        <w:pStyle w:val="Standard"/>
        <w:autoSpaceDE w:val="0"/>
        <w:spacing w:line="360" w:lineRule="auto"/>
        <w:jc w:val="both"/>
      </w:pPr>
      <w:r>
        <w:rPr>
          <w:rFonts w:ascii="Georgia" w:hAnsi="Georgia" w:cs="Arial"/>
          <w:color w:val="000000"/>
          <w:lang w:eastAsia="it-IT"/>
        </w:rPr>
        <w:t>- Aggiornamento del fabbisogno del personale: deliberazione di Giunta comunale n. 123 del 15/09/2023;</w:t>
      </w:r>
    </w:p>
    <w:p w:rsidR="00537813" w:rsidRDefault="00912472">
      <w:pPr>
        <w:pStyle w:val="Standard"/>
        <w:autoSpaceDE w:val="0"/>
        <w:spacing w:line="360" w:lineRule="auto"/>
        <w:jc w:val="both"/>
      </w:pPr>
      <w:r>
        <w:rPr>
          <w:rFonts w:ascii="Georgia" w:hAnsi="Georgia" w:cs="Arial"/>
          <w:color w:val="000000"/>
          <w:lang w:eastAsia="it-IT"/>
        </w:rPr>
        <w:t>- Integrazione obiettivi di performance: deliberazione di Giunta comunale n. 160 del 3/11/2023;</w:t>
      </w:r>
    </w:p>
    <w:p w:rsidR="00537813" w:rsidRDefault="00912472">
      <w:pPr>
        <w:pStyle w:val="Standard"/>
        <w:autoSpaceDE w:val="0"/>
        <w:spacing w:line="360" w:lineRule="auto"/>
        <w:jc w:val="both"/>
      </w:pPr>
      <w:r>
        <w:rPr>
          <w:rFonts w:ascii="Georgia" w:hAnsi="Georgia" w:cs="Arial"/>
          <w:color w:val="000000"/>
          <w:lang w:eastAsia="it-IT"/>
        </w:rPr>
        <w:t>- Monitoraggio</w:t>
      </w:r>
      <w:r>
        <w:rPr>
          <w:rFonts w:ascii="Georgia" w:hAnsi="Georgia"/>
        </w:rPr>
        <w:t xml:space="preserve"> al 30  giugno dell'attuazione del Piano della Performance: deliberazione di Giunta Comunale n. 133 del 17/11/2023;</w:t>
      </w:r>
    </w:p>
    <w:p w:rsidR="00537813" w:rsidRDefault="00912472">
      <w:pPr>
        <w:pStyle w:val="Standard"/>
        <w:autoSpaceDE w:val="0"/>
        <w:spacing w:line="360" w:lineRule="auto"/>
        <w:jc w:val="both"/>
        <w:rPr>
          <w:rFonts w:ascii="Georgia" w:hAnsi="Georgia" w:cs="Arial"/>
          <w:color w:val="000000"/>
          <w:lang w:eastAsia="it-IT"/>
        </w:rPr>
      </w:pPr>
      <w:r>
        <w:rPr>
          <w:rFonts w:ascii="Georgia" w:hAnsi="Georgia" w:cs="Arial"/>
          <w:color w:val="000000"/>
          <w:lang w:eastAsia="it-IT"/>
        </w:rPr>
        <w:t>- Salvaguardia degli equilibri di Bilancio 2023 e assestamento: Deliberazione di Consiglio  Comunale n. 24 del 28/06/2023;</w:t>
      </w:r>
    </w:p>
    <w:p w:rsidR="00537813" w:rsidRDefault="00912472">
      <w:pPr>
        <w:pStyle w:val="Standard"/>
        <w:autoSpaceDE w:val="0"/>
        <w:spacing w:line="360" w:lineRule="auto"/>
        <w:jc w:val="both"/>
      </w:pPr>
      <w:r>
        <w:rPr>
          <w:rFonts w:ascii="Georgia" w:hAnsi="Georgia" w:cs="Arial"/>
          <w:color w:val="000000"/>
          <w:lang w:eastAsia="it-IT"/>
        </w:rPr>
        <w:t>- Rendiconto di Gestione 2023: deliberazione di Consiglio Comunale n. 20 del 24/04/2024;</w:t>
      </w:r>
    </w:p>
    <w:p w:rsidR="00537813" w:rsidRDefault="00912472">
      <w:pPr>
        <w:pStyle w:val="Standard"/>
        <w:autoSpaceDE w:val="0"/>
        <w:spacing w:line="360" w:lineRule="auto"/>
        <w:jc w:val="both"/>
      </w:pPr>
      <w:r>
        <w:rPr>
          <w:rFonts w:ascii="Georgia" w:hAnsi="Georgia" w:cs="Arial"/>
          <w:color w:val="000000"/>
          <w:lang w:eastAsia="it-IT"/>
        </w:rPr>
        <w:t>- Rendicontazione strategica: deliberazione di Comunale n. 20 del 24/04/2024;</w:t>
      </w:r>
    </w:p>
    <w:p w:rsidR="00537813" w:rsidRDefault="00912472">
      <w:pPr>
        <w:pStyle w:val="Standard"/>
        <w:autoSpaceDE w:val="0"/>
        <w:spacing w:line="360" w:lineRule="auto"/>
        <w:jc w:val="both"/>
      </w:pPr>
      <w:r>
        <w:rPr>
          <w:rFonts w:ascii="Georgia" w:hAnsi="Georgia" w:cs="Arial"/>
          <w:color w:val="000000"/>
          <w:lang w:eastAsia="it-IT"/>
        </w:rPr>
        <w:t>- Bilancio consolidato con le proprie partecipate, per l’anno 2023: deliberazione di Consiglio Comunale n. 65 del 01/08/2023;</w:t>
      </w:r>
    </w:p>
    <w:p w:rsidR="00537813" w:rsidRDefault="00912472">
      <w:pPr>
        <w:pStyle w:val="Standard"/>
        <w:autoSpaceDE w:val="0"/>
        <w:spacing w:line="360" w:lineRule="auto"/>
        <w:jc w:val="both"/>
        <w:rPr>
          <w:rFonts w:ascii="Georgia" w:hAnsi="Georgia" w:cs="Arial"/>
          <w:color w:val="000000"/>
          <w:lang w:eastAsia="it-IT"/>
        </w:rPr>
      </w:pPr>
      <w:r>
        <w:rPr>
          <w:rFonts w:ascii="Georgia" w:hAnsi="Georgia" w:cs="Arial"/>
          <w:color w:val="000000"/>
          <w:lang w:eastAsia="it-IT"/>
        </w:rPr>
        <w:t>- Relazione di fine mandato 2019/2024 (trasmessa alla Corte dei Conti in data 27/03/2024);</w:t>
      </w:r>
    </w:p>
    <w:p w:rsidR="00537813" w:rsidRDefault="00912472">
      <w:pPr>
        <w:pStyle w:val="Standard"/>
        <w:autoSpaceDE w:val="0"/>
        <w:spacing w:line="360" w:lineRule="auto"/>
        <w:jc w:val="both"/>
        <w:rPr>
          <w:rFonts w:ascii="Georgia" w:hAnsi="Georgia"/>
        </w:rPr>
      </w:pPr>
      <w:r>
        <w:rPr>
          <w:rFonts w:ascii="Georgia" w:hAnsi="Georgia"/>
        </w:rPr>
        <w:t>- Relazione sulla gestione allegata al Rendiconto 2023 (art. 151, c. 6 e art. 231, D.lgs. 18 agosto 2000, n. 267 - art. 11, c. 6, D.lgs. 23 giugno 2011, n. 118): deliberazione di Giunta Comunale n. 47 in data 22/03/2024.</w:t>
      </w:r>
    </w:p>
    <w:p w:rsidR="00537813" w:rsidRDefault="00537813">
      <w:pPr>
        <w:pStyle w:val="Standard"/>
        <w:jc w:val="both"/>
        <w:rPr>
          <w:rFonts w:ascii="Georgia" w:hAnsi="Georgia" w:cs="Arial"/>
          <w:color w:val="000000"/>
          <w:lang w:eastAsia="it-IT"/>
        </w:rPr>
      </w:pPr>
    </w:p>
    <w:p w:rsidR="00537813" w:rsidRDefault="00912472">
      <w:pPr>
        <w:pStyle w:val="Testonormale"/>
        <w:spacing w:line="360" w:lineRule="auto"/>
        <w:jc w:val="both"/>
      </w:pPr>
      <w:r>
        <w:rPr>
          <w:rFonts w:ascii="Georgia" w:hAnsi="Georgia"/>
          <w:sz w:val="24"/>
        </w:rPr>
        <w:t>Con la presente Relazione sulla Performance</w:t>
      </w:r>
      <w:r>
        <w:rPr>
          <w:rFonts w:ascii="Georgia" w:hAnsi="Georgia"/>
          <w:b/>
          <w:sz w:val="24"/>
        </w:rPr>
        <w:t xml:space="preserve"> </w:t>
      </w:r>
      <w:r>
        <w:rPr>
          <w:rFonts w:ascii="Georgia" w:hAnsi="Georgia"/>
          <w:sz w:val="24"/>
        </w:rPr>
        <w:t>si intendono rendicontare le attività poste in essere nel corso dell’anno 2023 ed i risultati ottenuti, portando a compimento il Ciclo di gestione della performance , al fine di rendere trasparente l’azione amministrativa ed in l</w:t>
      </w:r>
      <w:r>
        <w:rPr>
          <w:rFonts w:ascii="Georgia" w:hAnsi="Georgia"/>
          <w:sz w:val="24"/>
        </w:rPr>
        <w:t>i</w:t>
      </w:r>
      <w:r>
        <w:rPr>
          <w:rFonts w:ascii="Georgia" w:hAnsi="Georgia"/>
          <w:sz w:val="24"/>
        </w:rPr>
        <w:t>nea con i meccanismi premiali, tenendo in debita considerazione, in linea di principio, le indicazioni fornite dall’ANAC per rendere il ciclo trasparente e leggibile, con la validazione del Nucleo di Valutazione.</w:t>
      </w:r>
    </w:p>
    <w:p w:rsidR="00537813" w:rsidRDefault="00912472">
      <w:pPr>
        <w:pStyle w:val="Testonormale"/>
        <w:spacing w:line="360" w:lineRule="auto"/>
        <w:jc w:val="both"/>
      </w:pPr>
      <w:r>
        <w:rPr>
          <w:rFonts w:ascii="Georgia" w:hAnsi="Georgia"/>
          <w:sz w:val="24"/>
        </w:rPr>
        <w:t>Per meglio comprendere e contestualizzare l’attività posta in essere dall’Amministrazione comunale nel corso dell’anno 2023, si ritiene opportuno riportare di seguito sintetiche i</w:t>
      </w:r>
      <w:r>
        <w:rPr>
          <w:rFonts w:ascii="Georgia" w:hAnsi="Georgia"/>
          <w:sz w:val="24"/>
        </w:rPr>
        <w:t>n</w:t>
      </w:r>
      <w:r>
        <w:rPr>
          <w:rFonts w:ascii="Georgia" w:hAnsi="Georgia"/>
          <w:sz w:val="24"/>
        </w:rPr>
        <w:t>formazioni circa:</w:t>
      </w:r>
    </w:p>
    <w:p w:rsidR="00537813" w:rsidRDefault="00537813">
      <w:pPr>
        <w:pStyle w:val="Testonormale"/>
        <w:spacing w:line="360" w:lineRule="auto"/>
        <w:jc w:val="both"/>
        <w:rPr>
          <w:rFonts w:ascii="Georgia" w:hAnsi="Georgia"/>
          <w:sz w:val="24"/>
        </w:rPr>
      </w:pPr>
    </w:p>
    <w:p w:rsidR="00537813" w:rsidRDefault="00912472">
      <w:pPr>
        <w:pStyle w:val="Testonormale"/>
        <w:spacing w:line="360" w:lineRule="auto"/>
        <w:jc w:val="both"/>
      </w:pPr>
      <w:r>
        <w:rPr>
          <w:rFonts w:ascii="Georgia" w:hAnsi="Georgia"/>
          <w:b/>
          <w:sz w:val="24"/>
        </w:rPr>
        <w:lastRenderedPageBreak/>
        <w:t>A)</w:t>
      </w:r>
      <w:r>
        <w:rPr>
          <w:rFonts w:ascii="Georgia" w:hAnsi="Georgia"/>
          <w:sz w:val="24"/>
        </w:rPr>
        <w:t xml:space="preserve"> il processo di pianificazione e gestione;</w:t>
      </w:r>
    </w:p>
    <w:p w:rsidR="00537813" w:rsidRDefault="00912472">
      <w:pPr>
        <w:pStyle w:val="Testonormale"/>
        <w:spacing w:line="360" w:lineRule="auto"/>
        <w:jc w:val="both"/>
      </w:pPr>
      <w:r>
        <w:rPr>
          <w:rFonts w:ascii="Georgia" w:hAnsi="Georgia"/>
          <w:b/>
          <w:sz w:val="24"/>
        </w:rPr>
        <w:t>B)</w:t>
      </w:r>
      <w:r>
        <w:rPr>
          <w:rFonts w:ascii="Georgia" w:hAnsi="Georgia"/>
          <w:sz w:val="24"/>
        </w:rPr>
        <w:t xml:space="preserve"> i risultati raggiunti;</w:t>
      </w:r>
    </w:p>
    <w:p w:rsidR="00537813" w:rsidRDefault="00912472">
      <w:pPr>
        <w:pStyle w:val="Testonormale"/>
        <w:spacing w:line="360" w:lineRule="auto"/>
        <w:jc w:val="both"/>
      </w:pPr>
      <w:r>
        <w:rPr>
          <w:rFonts w:ascii="Georgia" w:hAnsi="Georgia"/>
          <w:b/>
          <w:sz w:val="24"/>
        </w:rPr>
        <w:t>C)</w:t>
      </w:r>
      <w:r>
        <w:rPr>
          <w:rFonts w:ascii="Georgia" w:hAnsi="Georgia"/>
          <w:sz w:val="24"/>
        </w:rPr>
        <w:t xml:space="preserve"> il sistema di valutazione, verifica finale obiettivi 2023 del Piano della Performance e premialità.</w:t>
      </w:r>
    </w:p>
    <w:p w:rsidR="00537813" w:rsidRDefault="00537813">
      <w:pPr>
        <w:pStyle w:val="Testonormale"/>
        <w:spacing w:line="360" w:lineRule="auto"/>
        <w:jc w:val="both"/>
        <w:rPr>
          <w:rFonts w:ascii="Georgia" w:hAnsi="Georgia"/>
          <w:sz w:val="24"/>
        </w:rPr>
      </w:pPr>
    </w:p>
    <w:p w:rsidR="00537813" w:rsidRDefault="00912472">
      <w:pPr>
        <w:pStyle w:val="Testonormale"/>
        <w:spacing w:line="360" w:lineRule="auto"/>
        <w:jc w:val="both"/>
      </w:pPr>
      <w:r>
        <w:rPr>
          <w:rFonts w:ascii="Georgia" w:hAnsi="Georgia"/>
          <w:sz w:val="24"/>
        </w:rPr>
        <w:t>Sul contesto esterno di riferimento si rimanda al Dup 2023/2025.</w:t>
      </w:r>
    </w:p>
    <w:p w:rsidR="00537813" w:rsidRDefault="00912472">
      <w:pPr>
        <w:pStyle w:val="Standard"/>
        <w:rPr>
          <w:rFonts w:ascii="Georgia" w:hAnsi="Georgia"/>
        </w:rPr>
      </w:pPr>
      <w:r>
        <w:rPr>
          <w:rFonts w:ascii="Georgia" w:hAnsi="Georgia"/>
        </w:rPr>
        <w:t>Sull’assetto organizzativo e il personale si rimanda al Piao 2023/2025.</w:t>
      </w:r>
    </w:p>
    <w:p w:rsidR="00537813" w:rsidRDefault="00537813">
      <w:pPr>
        <w:pStyle w:val="Standard"/>
        <w:rPr>
          <w:rFonts w:ascii="Georgia" w:hAnsi="Georgia"/>
        </w:rPr>
      </w:pPr>
    </w:p>
    <w:p w:rsidR="00537813" w:rsidRDefault="00537813">
      <w:pPr>
        <w:pStyle w:val="Standard"/>
        <w:rPr>
          <w:rFonts w:ascii="Georgia" w:hAnsi="Georgia"/>
        </w:rPr>
      </w:pPr>
    </w:p>
    <w:p w:rsidR="00537813" w:rsidRDefault="00537813">
      <w:pPr>
        <w:pStyle w:val="Standard"/>
        <w:rPr>
          <w:rFonts w:ascii="Georgia" w:hAnsi="Georgia"/>
        </w:rPr>
      </w:pPr>
    </w:p>
    <w:tbl>
      <w:tblPr>
        <w:tblW w:w="9638" w:type="dxa"/>
        <w:tblInd w:w="45" w:type="dxa"/>
        <w:tblLayout w:type="fixed"/>
        <w:tblCellMar>
          <w:left w:w="10" w:type="dxa"/>
          <w:right w:w="10" w:type="dxa"/>
        </w:tblCellMar>
        <w:tblLook w:val="0000" w:firstRow="0" w:lastRow="0" w:firstColumn="0" w:lastColumn="0" w:noHBand="0" w:noVBand="0"/>
      </w:tblPr>
      <w:tblGrid>
        <w:gridCol w:w="9638"/>
      </w:tblGrid>
      <w:tr w:rsidR="00537813">
        <w:tc>
          <w:tcPr>
            <w:tcW w:w="963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537813" w:rsidRDefault="00912472">
            <w:pPr>
              <w:pStyle w:val="Standard"/>
              <w:jc w:val="center"/>
            </w:pPr>
            <w:r>
              <w:rPr>
                <w:rFonts w:ascii="Georgia" w:hAnsi="Georgia"/>
                <w:b/>
              </w:rPr>
              <w:t>A) PROCESSO DI PIANIFICAZIONE E GESTIONE</w:t>
            </w:r>
          </w:p>
        </w:tc>
      </w:tr>
    </w:tbl>
    <w:p w:rsidR="00537813" w:rsidRDefault="00537813">
      <w:pPr>
        <w:pStyle w:val="Standard"/>
        <w:rPr>
          <w:rFonts w:ascii="Georgia" w:hAnsi="Georgia"/>
        </w:rPr>
      </w:pPr>
    </w:p>
    <w:p w:rsidR="00537813" w:rsidRDefault="00912472">
      <w:pPr>
        <w:pStyle w:val="Testonormale"/>
        <w:spacing w:line="360" w:lineRule="auto"/>
        <w:jc w:val="both"/>
        <w:rPr>
          <w:rFonts w:ascii="Georgia" w:hAnsi="Georgia" w:cs="Arial"/>
          <w:sz w:val="24"/>
          <w:szCs w:val="24"/>
        </w:rPr>
      </w:pPr>
      <w:r>
        <w:rPr>
          <w:rFonts w:ascii="Georgia" w:hAnsi="Georgia" w:cs="Arial"/>
          <w:sz w:val="24"/>
          <w:szCs w:val="24"/>
        </w:rPr>
        <w:t>Il vigente sistema di misurazione e valutazione della performance si articola, in particolare, nei seguenti strumenti,  approvati con deliberazione di Giunta dell’Unione Reno Galliera  deliberazione n. 64 del 21 maggio 2019 e recepiti con deliberazione di Giunta Comunale n. 77 del 22/05/2019:</w:t>
      </w:r>
    </w:p>
    <w:p w:rsidR="00537813" w:rsidRDefault="00537813">
      <w:pPr>
        <w:pStyle w:val="Testonormale"/>
        <w:spacing w:line="360" w:lineRule="auto"/>
        <w:jc w:val="both"/>
        <w:rPr>
          <w:rFonts w:ascii="Georgia" w:hAnsi="Georgia" w:cs="Arial"/>
          <w:sz w:val="24"/>
          <w:szCs w:val="24"/>
        </w:rPr>
      </w:pPr>
    </w:p>
    <w:p w:rsidR="00537813" w:rsidRDefault="00912472">
      <w:pPr>
        <w:pStyle w:val="Testonormale"/>
        <w:spacing w:line="360" w:lineRule="auto"/>
        <w:jc w:val="both"/>
        <w:rPr>
          <w:rFonts w:ascii="Georgia" w:hAnsi="Georgia" w:cs="Arial"/>
          <w:sz w:val="24"/>
          <w:szCs w:val="24"/>
        </w:rPr>
      </w:pPr>
      <w:r>
        <w:rPr>
          <w:rFonts w:ascii="Georgia" w:hAnsi="Georgia" w:cs="Arial"/>
          <w:sz w:val="24"/>
          <w:szCs w:val="24"/>
        </w:rPr>
        <w:t>1.“Ciclo di gestione della performance”, che indica le seguenti fasi della programmazione e del controllo dell’Ente collegandole con il sistema di valutazione:</w:t>
      </w:r>
    </w:p>
    <w:p w:rsidR="00537813" w:rsidRDefault="00912472">
      <w:pPr>
        <w:pStyle w:val="Testonormale"/>
        <w:spacing w:line="360" w:lineRule="auto"/>
        <w:jc w:val="both"/>
        <w:rPr>
          <w:rFonts w:ascii="Georgia" w:hAnsi="Georgia" w:cs="Arial"/>
          <w:sz w:val="24"/>
          <w:szCs w:val="24"/>
        </w:rPr>
      </w:pPr>
      <w:r>
        <w:rPr>
          <w:rFonts w:ascii="Georgia" w:hAnsi="Georgia" w:cs="Arial"/>
          <w:sz w:val="24"/>
          <w:szCs w:val="24"/>
        </w:rPr>
        <w:t>• il processo di pianificazione dell’Ente;</w:t>
      </w:r>
    </w:p>
    <w:p w:rsidR="00537813" w:rsidRDefault="00912472">
      <w:pPr>
        <w:pStyle w:val="Testonormale"/>
        <w:spacing w:line="360" w:lineRule="auto"/>
        <w:jc w:val="both"/>
        <w:rPr>
          <w:rFonts w:ascii="Georgia" w:hAnsi="Georgia" w:cs="Arial"/>
          <w:sz w:val="24"/>
          <w:szCs w:val="24"/>
        </w:rPr>
      </w:pPr>
      <w:r>
        <w:rPr>
          <w:rFonts w:ascii="Georgia" w:hAnsi="Georgia" w:cs="Arial"/>
          <w:sz w:val="24"/>
          <w:szCs w:val="24"/>
        </w:rPr>
        <w:t>• definizione e assegnazione degli obiettivi da raggiungere;</w:t>
      </w:r>
    </w:p>
    <w:p w:rsidR="00537813" w:rsidRDefault="00912472">
      <w:pPr>
        <w:pStyle w:val="Testonormale"/>
        <w:spacing w:line="360" w:lineRule="auto"/>
        <w:jc w:val="both"/>
        <w:rPr>
          <w:rFonts w:ascii="Georgia" w:hAnsi="Georgia" w:cs="Arial"/>
          <w:sz w:val="24"/>
          <w:szCs w:val="24"/>
        </w:rPr>
      </w:pPr>
      <w:r>
        <w:rPr>
          <w:rFonts w:ascii="Georgia" w:hAnsi="Georgia" w:cs="Arial"/>
          <w:sz w:val="24"/>
          <w:szCs w:val="24"/>
        </w:rPr>
        <w:t>• monitoraggio in corso di esercizio;</w:t>
      </w:r>
    </w:p>
    <w:p w:rsidR="00537813" w:rsidRDefault="00912472">
      <w:pPr>
        <w:pStyle w:val="Testonormale"/>
        <w:spacing w:line="360" w:lineRule="auto"/>
        <w:jc w:val="both"/>
        <w:rPr>
          <w:rFonts w:ascii="Georgia" w:hAnsi="Georgia" w:cs="Arial"/>
          <w:sz w:val="24"/>
          <w:szCs w:val="24"/>
        </w:rPr>
      </w:pPr>
      <w:r>
        <w:rPr>
          <w:rFonts w:ascii="Georgia" w:hAnsi="Georgia" w:cs="Arial"/>
          <w:sz w:val="24"/>
          <w:szCs w:val="24"/>
        </w:rPr>
        <w:t>• misurazione e valutazione della performance organizzativa e individuale;</w:t>
      </w:r>
    </w:p>
    <w:p w:rsidR="00537813" w:rsidRDefault="00912472">
      <w:pPr>
        <w:pStyle w:val="Testonormale"/>
        <w:spacing w:line="360" w:lineRule="auto"/>
        <w:jc w:val="both"/>
        <w:rPr>
          <w:rFonts w:ascii="Georgia" w:hAnsi="Georgia" w:cs="Arial"/>
          <w:sz w:val="24"/>
          <w:szCs w:val="24"/>
        </w:rPr>
      </w:pPr>
      <w:r>
        <w:rPr>
          <w:rFonts w:ascii="Georgia" w:hAnsi="Georgia" w:cs="Arial"/>
          <w:sz w:val="24"/>
          <w:szCs w:val="24"/>
        </w:rPr>
        <w:t>• utilizzo di sistemi premianti secondo criteri di valorizzazione del merito;</w:t>
      </w:r>
    </w:p>
    <w:p w:rsidR="00537813" w:rsidRDefault="00912472">
      <w:pPr>
        <w:pStyle w:val="Testonormale"/>
        <w:spacing w:line="360" w:lineRule="auto"/>
        <w:jc w:val="both"/>
      </w:pPr>
      <w:r>
        <w:rPr>
          <w:rFonts w:ascii="Georgia" w:hAnsi="Georgia" w:cs="Arial"/>
          <w:sz w:val="24"/>
          <w:szCs w:val="24"/>
        </w:rPr>
        <w:t>• rendicontazione dei risultati.</w:t>
      </w:r>
    </w:p>
    <w:p w:rsidR="00537813" w:rsidRDefault="00537813">
      <w:pPr>
        <w:pStyle w:val="Testonormale"/>
        <w:spacing w:line="360" w:lineRule="auto"/>
        <w:jc w:val="both"/>
        <w:rPr>
          <w:rFonts w:ascii="Georgia" w:hAnsi="Georgia" w:cs="Arial"/>
          <w:sz w:val="24"/>
          <w:szCs w:val="24"/>
        </w:rPr>
      </w:pPr>
    </w:p>
    <w:p w:rsidR="00537813" w:rsidRDefault="00912472">
      <w:pPr>
        <w:pStyle w:val="Testonormale"/>
        <w:spacing w:line="360" w:lineRule="auto"/>
        <w:jc w:val="both"/>
        <w:rPr>
          <w:rFonts w:ascii="Georgia" w:hAnsi="Georgia" w:cs="Arial"/>
          <w:sz w:val="24"/>
          <w:szCs w:val="24"/>
        </w:rPr>
      </w:pPr>
      <w:r>
        <w:rPr>
          <w:rFonts w:ascii="Georgia" w:hAnsi="Georgia" w:cs="Arial"/>
          <w:sz w:val="24"/>
          <w:szCs w:val="24"/>
        </w:rPr>
        <w:t>2. “Misurazione e valutazione della performance del personale direttivo”, che si articola nei seguenti parametri, completati dal modello di scheda di valutazione:</w:t>
      </w:r>
    </w:p>
    <w:p w:rsidR="00537813" w:rsidRDefault="00912472">
      <w:pPr>
        <w:pStyle w:val="Testonormale"/>
        <w:spacing w:line="360" w:lineRule="auto"/>
        <w:jc w:val="both"/>
        <w:rPr>
          <w:rFonts w:ascii="Georgia" w:hAnsi="Georgia" w:cs="Arial"/>
          <w:sz w:val="24"/>
          <w:szCs w:val="24"/>
        </w:rPr>
      </w:pPr>
      <w:r>
        <w:rPr>
          <w:rFonts w:ascii="Georgia" w:hAnsi="Georgia" w:cs="Arial"/>
          <w:sz w:val="24"/>
          <w:szCs w:val="24"/>
        </w:rPr>
        <w:t>• il grado di conseguimento di specifici obiettivi individuali;</w:t>
      </w:r>
    </w:p>
    <w:p w:rsidR="00537813" w:rsidRDefault="00912472">
      <w:pPr>
        <w:pStyle w:val="Testonormale"/>
        <w:spacing w:line="360" w:lineRule="auto"/>
        <w:jc w:val="both"/>
        <w:rPr>
          <w:rFonts w:ascii="Georgia" w:hAnsi="Georgia" w:cs="Arial"/>
          <w:sz w:val="24"/>
          <w:szCs w:val="24"/>
        </w:rPr>
      </w:pPr>
      <w:r>
        <w:rPr>
          <w:rFonts w:ascii="Georgia" w:hAnsi="Georgia" w:cs="Arial"/>
          <w:sz w:val="24"/>
          <w:szCs w:val="24"/>
        </w:rPr>
        <w:t>• il comportamento manageriale (competenze manageriali e professionali);</w:t>
      </w:r>
    </w:p>
    <w:p w:rsidR="00537813" w:rsidRDefault="00912472">
      <w:pPr>
        <w:pStyle w:val="Testonormale"/>
        <w:spacing w:line="360" w:lineRule="auto"/>
        <w:jc w:val="both"/>
        <w:rPr>
          <w:rFonts w:ascii="Georgia" w:hAnsi="Georgia" w:cs="Arial"/>
          <w:sz w:val="24"/>
          <w:szCs w:val="24"/>
        </w:rPr>
      </w:pPr>
      <w:r>
        <w:rPr>
          <w:rFonts w:ascii="Georgia" w:hAnsi="Georgia" w:cs="Arial"/>
          <w:sz w:val="24"/>
          <w:szCs w:val="24"/>
        </w:rPr>
        <w:t>• la capacità di valutazione dei propri collaboratori;</w:t>
      </w:r>
    </w:p>
    <w:p w:rsidR="00537813" w:rsidRDefault="00912472">
      <w:pPr>
        <w:pStyle w:val="Testonormale"/>
        <w:spacing w:line="360" w:lineRule="auto"/>
        <w:jc w:val="both"/>
      </w:pPr>
      <w:r>
        <w:rPr>
          <w:rFonts w:ascii="Georgia" w:hAnsi="Georgia" w:cs="Arial"/>
          <w:sz w:val="24"/>
          <w:szCs w:val="24"/>
        </w:rPr>
        <w:t xml:space="preserve">• la performance conseguita nell’ambito organizzativo di diretta responsabilità, misurata con appositi indicatori;  </w:t>
      </w:r>
    </w:p>
    <w:p w:rsidR="00537813" w:rsidRDefault="00912472">
      <w:pPr>
        <w:pStyle w:val="Testonormale"/>
        <w:spacing w:line="360" w:lineRule="auto"/>
        <w:jc w:val="both"/>
        <w:rPr>
          <w:rFonts w:ascii="Georgia" w:hAnsi="Georgia" w:cs="Arial"/>
          <w:sz w:val="24"/>
          <w:szCs w:val="24"/>
        </w:rPr>
      </w:pPr>
      <w:r>
        <w:rPr>
          <w:rFonts w:ascii="Georgia" w:hAnsi="Georgia" w:cs="Arial"/>
          <w:sz w:val="24"/>
          <w:szCs w:val="24"/>
        </w:rPr>
        <w:t>• il contributo alla performance dell’Ente.</w:t>
      </w:r>
    </w:p>
    <w:p w:rsidR="00537813" w:rsidRDefault="00537813">
      <w:pPr>
        <w:pStyle w:val="Testonormale"/>
        <w:spacing w:line="360" w:lineRule="auto"/>
        <w:jc w:val="both"/>
        <w:rPr>
          <w:rFonts w:ascii="Georgia" w:hAnsi="Georgia" w:cs="Arial"/>
          <w:sz w:val="24"/>
          <w:szCs w:val="24"/>
        </w:rPr>
      </w:pPr>
    </w:p>
    <w:p w:rsidR="00537813" w:rsidRDefault="00912472">
      <w:pPr>
        <w:pStyle w:val="Testonormale"/>
        <w:spacing w:line="360" w:lineRule="auto"/>
        <w:jc w:val="both"/>
        <w:rPr>
          <w:rFonts w:ascii="Georgia" w:hAnsi="Georgia" w:cs="Arial"/>
          <w:sz w:val="24"/>
          <w:szCs w:val="24"/>
        </w:rPr>
      </w:pPr>
      <w:r>
        <w:rPr>
          <w:rFonts w:ascii="Georgia" w:hAnsi="Georgia" w:cs="Arial"/>
          <w:sz w:val="24"/>
          <w:szCs w:val="24"/>
        </w:rPr>
        <w:t>3. “Misurazione e valutazione della performance del personale dipendente”, che si articola nei seguenti parametri, completati dal modello di scheda di valutazione:</w:t>
      </w:r>
    </w:p>
    <w:p w:rsidR="00537813" w:rsidRDefault="00912472">
      <w:pPr>
        <w:pStyle w:val="Testonormale"/>
        <w:spacing w:line="360" w:lineRule="auto"/>
        <w:jc w:val="both"/>
        <w:rPr>
          <w:rFonts w:ascii="Georgia" w:hAnsi="Georgia" w:cs="Arial"/>
          <w:sz w:val="24"/>
          <w:szCs w:val="24"/>
        </w:rPr>
      </w:pPr>
      <w:r>
        <w:rPr>
          <w:rFonts w:ascii="Georgia" w:hAnsi="Georgia" w:cs="Arial"/>
          <w:sz w:val="24"/>
          <w:szCs w:val="24"/>
        </w:rPr>
        <w:t>• grado di conseguimento di obiettivi di gruppo o individuali;</w:t>
      </w:r>
    </w:p>
    <w:p w:rsidR="00537813" w:rsidRDefault="00912472">
      <w:pPr>
        <w:pStyle w:val="Testonormale"/>
        <w:spacing w:line="360" w:lineRule="auto"/>
        <w:jc w:val="both"/>
        <w:rPr>
          <w:rFonts w:ascii="Georgia" w:hAnsi="Georgia" w:cs="Arial"/>
          <w:sz w:val="24"/>
          <w:szCs w:val="24"/>
        </w:rPr>
      </w:pPr>
      <w:r>
        <w:rPr>
          <w:rFonts w:ascii="Georgia" w:hAnsi="Georgia" w:cs="Arial"/>
          <w:sz w:val="24"/>
          <w:szCs w:val="24"/>
        </w:rPr>
        <w:lastRenderedPageBreak/>
        <w:t>• qualità del contributo, competenze dimostrate e comportamento professionale.</w:t>
      </w:r>
    </w:p>
    <w:p w:rsidR="00537813" w:rsidRDefault="00537813">
      <w:pPr>
        <w:pStyle w:val="Testonormale"/>
        <w:spacing w:line="360" w:lineRule="auto"/>
        <w:jc w:val="both"/>
        <w:rPr>
          <w:rFonts w:ascii="Georgia" w:hAnsi="Georgia" w:cs="Arial"/>
          <w:sz w:val="24"/>
          <w:szCs w:val="24"/>
        </w:rPr>
      </w:pPr>
    </w:p>
    <w:p w:rsidR="00537813" w:rsidRDefault="00912472">
      <w:pPr>
        <w:pStyle w:val="Testonormale"/>
        <w:spacing w:line="360" w:lineRule="auto"/>
        <w:jc w:val="both"/>
      </w:pPr>
      <w:r>
        <w:rPr>
          <w:rFonts w:ascii="Georgia" w:hAnsi="Georgia" w:cs="Arial"/>
          <w:sz w:val="24"/>
          <w:szCs w:val="24"/>
        </w:rPr>
        <w:t>Il Nucleo di valutazione supporta l’Ente e predispone la proposta finale in merito alla val</w:t>
      </w:r>
      <w:r>
        <w:rPr>
          <w:rFonts w:ascii="Georgia" w:hAnsi="Georgia" w:cs="Arial"/>
          <w:sz w:val="24"/>
          <w:szCs w:val="24"/>
        </w:rPr>
        <w:t>u</w:t>
      </w:r>
      <w:r>
        <w:rPr>
          <w:rFonts w:ascii="Georgia" w:hAnsi="Georgia" w:cs="Arial"/>
          <w:sz w:val="24"/>
          <w:szCs w:val="24"/>
        </w:rPr>
        <w:t>tazione del Personale Direttivo da sottoporre al Sindaco.</w:t>
      </w:r>
    </w:p>
    <w:p w:rsidR="00537813" w:rsidRDefault="00537813">
      <w:pPr>
        <w:pStyle w:val="Testonormale"/>
        <w:spacing w:line="360" w:lineRule="auto"/>
        <w:jc w:val="both"/>
        <w:rPr>
          <w:rFonts w:ascii="Georgia" w:hAnsi="Georgia" w:cs="Arial"/>
          <w:sz w:val="24"/>
          <w:szCs w:val="24"/>
        </w:rPr>
      </w:pPr>
    </w:p>
    <w:p w:rsidR="00537813" w:rsidRDefault="00912472">
      <w:pPr>
        <w:pStyle w:val="Testonormale"/>
        <w:spacing w:line="360" w:lineRule="auto"/>
        <w:jc w:val="both"/>
      </w:pPr>
      <w:r>
        <w:rPr>
          <w:rFonts w:ascii="Georgia" w:hAnsi="Georgia" w:cs="Arial"/>
          <w:sz w:val="24"/>
          <w:szCs w:val="24"/>
        </w:rPr>
        <w:t>Pertanto, l’’insieme dei documenti costituiti dal DUP (Documento Unico di Programm</w:t>
      </w:r>
      <w:r>
        <w:rPr>
          <w:rFonts w:ascii="Georgia" w:hAnsi="Georgia" w:cs="Arial"/>
          <w:sz w:val="24"/>
          <w:szCs w:val="24"/>
        </w:rPr>
        <w:t>a</w:t>
      </w:r>
      <w:r>
        <w:rPr>
          <w:rFonts w:ascii="Georgia" w:hAnsi="Georgia" w:cs="Arial"/>
          <w:sz w:val="24"/>
          <w:szCs w:val="24"/>
        </w:rPr>
        <w:t>zione), dal PEG (Piano Esecutivo di Gestione) e dal Piao (sez. 2.2. Piano della Performance) come meglio di seguito descritti, soddisfano nel loro complesso i principi sopra accennati e, visto il regolamento comunale sull’ordinamento degli uffici e servizi, concorrono a costitu</w:t>
      </w:r>
      <w:r>
        <w:rPr>
          <w:rFonts w:ascii="Georgia" w:hAnsi="Georgia" w:cs="Arial"/>
          <w:sz w:val="24"/>
          <w:szCs w:val="24"/>
        </w:rPr>
        <w:t>i</w:t>
      </w:r>
      <w:r>
        <w:rPr>
          <w:rFonts w:ascii="Georgia" w:hAnsi="Georgia" w:cs="Arial"/>
          <w:sz w:val="24"/>
          <w:szCs w:val="24"/>
        </w:rPr>
        <w:t>re il PIANO DELLA PERFORMANCE come strumento del complessivo Ciclo della perfo</w:t>
      </w:r>
      <w:r>
        <w:rPr>
          <w:rFonts w:ascii="Georgia" w:hAnsi="Georgia" w:cs="Arial"/>
          <w:sz w:val="24"/>
          <w:szCs w:val="24"/>
        </w:rPr>
        <w:t>r</w:t>
      </w:r>
      <w:r>
        <w:rPr>
          <w:rFonts w:ascii="Georgia" w:hAnsi="Georgia" w:cs="Arial"/>
          <w:sz w:val="24"/>
          <w:szCs w:val="24"/>
        </w:rPr>
        <w:t>mance del Comune di Castel Maggiore, come segue:</w:t>
      </w:r>
    </w:p>
    <w:p w:rsidR="00537813" w:rsidRDefault="00537813">
      <w:pPr>
        <w:pStyle w:val="Testonormale"/>
        <w:spacing w:line="360" w:lineRule="auto"/>
        <w:jc w:val="both"/>
        <w:rPr>
          <w:rFonts w:ascii="Georgia" w:hAnsi="Georgia" w:cs="Arial"/>
          <w:sz w:val="24"/>
          <w:szCs w:val="24"/>
        </w:rPr>
      </w:pPr>
    </w:p>
    <w:p w:rsidR="00537813" w:rsidRDefault="00912472">
      <w:pPr>
        <w:pStyle w:val="Testonormale"/>
        <w:spacing w:line="360" w:lineRule="auto"/>
        <w:jc w:val="both"/>
      </w:pPr>
      <w:r>
        <w:rPr>
          <w:noProof/>
          <w:lang w:eastAsia="it-IT"/>
        </w:rPr>
        <w:drawing>
          <wp:inline distT="0" distB="0" distL="0" distR="0">
            <wp:extent cx="6120130" cy="2763241"/>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2763241"/>
                    </a:xfrm>
                    <a:prstGeom prst="rect">
                      <a:avLst/>
                    </a:prstGeom>
                    <a:noFill/>
                    <a:ln>
                      <a:noFill/>
                    </a:ln>
                  </pic:spPr>
                </pic:pic>
              </a:graphicData>
            </a:graphic>
          </wp:inline>
        </w:drawing>
      </w:r>
    </w:p>
    <w:p w:rsidR="00537813" w:rsidRDefault="00537813">
      <w:pPr>
        <w:pStyle w:val="Testonormale"/>
        <w:spacing w:line="360" w:lineRule="auto"/>
        <w:jc w:val="both"/>
        <w:rPr>
          <w:rFonts w:ascii="Georgia" w:hAnsi="Georgia" w:cs="Arial"/>
          <w:sz w:val="24"/>
          <w:szCs w:val="24"/>
        </w:rPr>
      </w:pPr>
    </w:p>
    <w:p w:rsidR="00537813" w:rsidRDefault="00912472">
      <w:pPr>
        <w:pStyle w:val="Testonormale"/>
        <w:spacing w:line="360" w:lineRule="auto"/>
        <w:jc w:val="both"/>
      </w:pPr>
      <w:r>
        <w:rPr>
          <w:rFonts w:ascii="Georgia" w:hAnsi="Georgia" w:cs="Arial"/>
          <w:sz w:val="24"/>
          <w:szCs w:val="24"/>
        </w:rPr>
        <w:t>La relazione tra il DUP e i soprarichiamati documenti di programmazione (Piano Esecutivo di Gestione e Piao sez. 2.2. Piano della Performance) con gli obiettivi dell’ente nelle loro diverse formulazioni (strategici, operativi e gestionali) è ciclico e i</w:t>
      </w:r>
      <w:r>
        <w:rPr>
          <w:rFonts w:ascii="Georgia" w:hAnsi="Georgia"/>
          <w:sz w:val="24"/>
        </w:rPr>
        <w:t xml:space="preserve">l percorso adottato </w:t>
      </w:r>
      <w:r>
        <w:rPr>
          <w:rFonts w:ascii="Georgia" w:hAnsi="Georgia" w:cs="Arial"/>
          <w:sz w:val="24"/>
          <w:szCs w:val="24"/>
        </w:rPr>
        <w:t>per l’individuazione degli obiettivi della sez. 2.2 del Piao - Piano della Performance, ha seguito il seguente schema:</w:t>
      </w:r>
    </w:p>
    <w:p w:rsidR="00537813" w:rsidRDefault="00912472">
      <w:pPr>
        <w:pStyle w:val="Testonormale"/>
        <w:spacing w:line="360" w:lineRule="auto"/>
        <w:jc w:val="both"/>
      </w:pPr>
      <w:r>
        <w:rPr>
          <w:rFonts w:ascii="Georgia" w:hAnsi="Georgia" w:cs="Arial"/>
          <w:sz w:val="24"/>
          <w:szCs w:val="24"/>
        </w:rPr>
        <w:t>- individuazione, ove possibile, di obiettivi strategici correlati e funzionali al programma della Amministrazione comunale ed alla sua attività istituzionale e gestionale;</w:t>
      </w:r>
    </w:p>
    <w:p w:rsidR="00537813" w:rsidRDefault="00912472">
      <w:pPr>
        <w:pStyle w:val="Testonormale"/>
        <w:spacing w:line="360" w:lineRule="auto"/>
        <w:jc w:val="both"/>
      </w:pPr>
      <w:r>
        <w:rPr>
          <w:rFonts w:ascii="Georgia" w:hAnsi="Georgia" w:cs="Arial"/>
          <w:sz w:val="24"/>
          <w:szCs w:val="24"/>
        </w:rPr>
        <w:t>- declinazione degli obiettivi “strategici” in obiettivi operativi/azioni/attività in ossequio a quanto previsto dall’art. 5 del D.Lgs. 150/2009;</w:t>
      </w:r>
    </w:p>
    <w:p w:rsidR="00537813" w:rsidRDefault="00912472">
      <w:pPr>
        <w:pStyle w:val="Testonormale"/>
        <w:spacing w:line="360" w:lineRule="auto"/>
        <w:jc w:val="both"/>
      </w:pPr>
      <w:r>
        <w:rPr>
          <w:rFonts w:ascii="Georgia" w:hAnsi="Georgia" w:cs="Arial"/>
          <w:sz w:val="24"/>
          <w:szCs w:val="24"/>
        </w:rPr>
        <w:t>- suddivisione, ove possibile, delle azioni in passaggi analitici collegati ad indicatori specif</w:t>
      </w:r>
      <w:r>
        <w:rPr>
          <w:rFonts w:ascii="Georgia" w:hAnsi="Georgia" w:cs="Arial"/>
          <w:sz w:val="24"/>
          <w:szCs w:val="24"/>
        </w:rPr>
        <w:t>i</w:t>
      </w:r>
      <w:r>
        <w:rPr>
          <w:rFonts w:ascii="Georgia" w:hAnsi="Georgia" w:cs="Arial"/>
          <w:sz w:val="24"/>
          <w:szCs w:val="24"/>
        </w:rPr>
        <w:t>ci, strumentali alla valutazione degli obiettivi ed alla verifica del grado di misurazione e raggiungimento delle finalità attese.</w:t>
      </w:r>
    </w:p>
    <w:p w:rsidR="00537813" w:rsidRDefault="00912472">
      <w:pPr>
        <w:pStyle w:val="Testonormale"/>
        <w:spacing w:line="360" w:lineRule="auto"/>
        <w:jc w:val="both"/>
      </w:pPr>
      <w:r>
        <w:rPr>
          <w:rFonts w:ascii="Georgia" w:hAnsi="Georgia" w:cs="Arial"/>
          <w:sz w:val="24"/>
          <w:szCs w:val="24"/>
        </w:rPr>
        <w:lastRenderedPageBreak/>
        <w:t>Gli obiettivi che l’Amministrazione ha inteso perseguire sono stati legati alla premialità, ovvero alla distribuzione delle risorse derivanti dal Fondo delle risorse destinato alla pr</w:t>
      </w:r>
      <w:r>
        <w:rPr>
          <w:rFonts w:ascii="Georgia" w:hAnsi="Georgia" w:cs="Arial"/>
          <w:sz w:val="24"/>
          <w:szCs w:val="24"/>
        </w:rPr>
        <w:t>o</w:t>
      </w:r>
      <w:r>
        <w:rPr>
          <w:rFonts w:ascii="Georgia" w:hAnsi="Georgia" w:cs="Arial"/>
          <w:sz w:val="24"/>
          <w:szCs w:val="24"/>
        </w:rPr>
        <w:t>duttività, per converso le somme relative alla produttività sono distribuite solo in base ai criteri di programmazione e valutazione sopra illustrati.</w:t>
      </w:r>
    </w:p>
    <w:p w:rsidR="00537813" w:rsidRDefault="00537813">
      <w:pPr>
        <w:pStyle w:val="Testonormale"/>
        <w:spacing w:line="360" w:lineRule="auto"/>
        <w:jc w:val="both"/>
        <w:rPr>
          <w:rFonts w:ascii="Georgia" w:hAnsi="Georgia" w:cs="Arial"/>
          <w:sz w:val="24"/>
          <w:szCs w:val="24"/>
        </w:rPr>
      </w:pPr>
    </w:p>
    <w:p w:rsidR="00537813" w:rsidRDefault="00912472">
      <w:pPr>
        <w:pStyle w:val="Testonormale"/>
        <w:spacing w:line="360" w:lineRule="auto"/>
        <w:jc w:val="both"/>
      </w:pPr>
      <w:r>
        <w:rPr>
          <w:rFonts w:ascii="Georgia" w:hAnsi="Georgia" w:cs="Arial"/>
          <w:sz w:val="24"/>
          <w:szCs w:val="24"/>
        </w:rPr>
        <w:t>Sulla base del Sistema di valutazione della performance individuale, in uso presso questo Ente per l’annualità di interesse, ad ogni Responsabile di Settore sono stati assegnati più obiettivi operativi di gestione. E’ stata rimessa alla valutazione di ogni Responsabile di Se</w:t>
      </w:r>
      <w:r>
        <w:rPr>
          <w:rFonts w:ascii="Georgia" w:hAnsi="Georgia" w:cs="Arial"/>
          <w:sz w:val="24"/>
          <w:szCs w:val="24"/>
        </w:rPr>
        <w:t>t</w:t>
      </w:r>
      <w:r>
        <w:rPr>
          <w:rFonts w:ascii="Georgia" w:hAnsi="Georgia" w:cs="Arial"/>
          <w:sz w:val="24"/>
          <w:szCs w:val="24"/>
        </w:rPr>
        <w:t>tore individuare la modalità di partecipare gli obiettivi di settore al proprio staff in relazi</w:t>
      </w:r>
      <w:r>
        <w:rPr>
          <w:rFonts w:ascii="Georgia" w:hAnsi="Georgia" w:cs="Arial"/>
          <w:sz w:val="24"/>
          <w:szCs w:val="24"/>
        </w:rPr>
        <w:t>o</w:t>
      </w:r>
      <w:r>
        <w:rPr>
          <w:rFonts w:ascii="Georgia" w:hAnsi="Georgia" w:cs="Arial"/>
          <w:sz w:val="24"/>
          <w:szCs w:val="24"/>
        </w:rPr>
        <w:t>ne alle professionalità esistenti all’interno del Settore stesso e grado di coinvolgimento.</w:t>
      </w:r>
    </w:p>
    <w:p w:rsidR="00537813" w:rsidRDefault="00537813">
      <w:pPr>
        <w:pStyle w:val="Standard"/>
        <w:rPr>
          <w:rFonts w:ascii="Georgia" w:hAnsi="Georgia"/>
        </w:rPr>
      </w:pPr>
    </w:p>
    <w:p w:rsidR="00537813" w:rsidRDefault="00537813">
      <w:pPr>
        <w:pStyle w:val="Standard"/>
        <w:rPr>
          <w:rFonts w:ascii="Georgia" w:hAnsi="Georgia"/>
        </w:rPr>
      </w:pPr>
    </w:p>
    <w:p w:rsidR="00537813" w:rsidRDefault="00537813">
      <w:pPr>
        <w:pStyle w:val="Standard"/>
        <w:rPr>
          <w:rFonts w:ascii="Georgia" w:hAnsi="Georgia"/>
        </w:rPr>
      </w:pPr>
    </w:p>
    <w:tbl>
      <w:tblPr>
        <w:tblW w:w="9638" w:type="dxa"/>
        <w:tblInd w:w="45" w:type="dxa"/>
        <w:tblLayout w:type="fixed"/>
        <w:tblCellMar>
          <w:left w:w="10" w:type="dxa"/>
          <w:right w:w="10" w:type="dxa"/>
        </w:tblCellMar>
        <w:tblLook w:val="0000" w:firstRow="0" w:lastRow="0" w:firstColumn="0" w:lastColumn="0" w:noHBand="0" w:noVBand="0"/>
      </w:tblPr>
      <w:tblGrid>
        <w:gridCol w:w="9638"/>
      </w:tblGrid>
      <w:tr w:rsidR="00537813">
        <w:tc>
          <w:tcPr>
            <w:tcW w:w="963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537813" w:rsidRDefault="00912472">
            <w:pPr>
              <w:pStyle w:val="Standard"/>
              <w:jc w:val="center"/>
            </w:pPr>
            <w:r>
              <w:rPr>
                <w:rFonts w:ascii="Georgia" w:hAnsi="Georgia"/>
                <w:b/>
              </w:rPr>
              <w:t>B) RISULTATI RAGGIUNTI - VERIFICA FINALE DEGLI OBIETTIVI DELLA SEZ. 2.2 DEL PIAO - PIANO DELLA PERFORMANCE</w:t>
            </w:r>
          </w:p>
        </w:tc>
      </w:tr>
    </w:tbl>
    <w:p w:rsidR="00537813" w:rsidRDefault="00537813">
      <w:pPr>
        <w:pStyle w:val="Standard"/>
        <w:rPr>
          <w:rFonts w:ascii="Georgia" w:hAnsi="Georgia"/>
        </w:rPr>
      </w:pPr>
    </w:p>
    <w:p w:rsidR="00537813" w:rsidRDefault="00912472">
      <w:pPr>
        <w:pStyle w:val="Testonormale"/>
        <w:spacing w:line="360" w:lineRule="auto"/>
        <w:jc w:val="both"/>
      </w:pPr>
      <w:r>
        <w:rPr>
          <w:rFonts w:ascii="Georgia" w:hAnsi="Georgia"/>
          <w:sz w:val="24"/>
        </w:rPr>
        <w:t xml:space="preserve">Si </w:t>
      </w:r>
      <w:r>
        <w:rPr>
          <w:rFonts w:ascii="Georgia" w:hAnsi="Georgia" w:cs="Arial"/>
          <w:sz w:val="24"/>
          <w:szCs w:val="24"/>
        </w:rPr>
        <w:t>rimanda</w:t>
      </w:r>
      <w:r>
        <w:rPr>
          <w:rFonts w:ascii="Georgia" w:hAnsi="Georgia"/>
          <w:sz w:val="24"/>
        </w:rPr>
        <w:t xml:space="preserve"> ai Report finali dei Responsabili di Settore, validati dal Nucleo di Valutazione, nei quali sono analiticamente presentate le rendicontazioni delle attività programmate e svolte nel 2023.</w:t>
      </w:r>
    </w:p>
    <w:p w:rsidR="00537813" w:rsidRDefault="00537813">
      <w:pPr>
        <w:pStyle w:val="Standard"/>
        <w:rPr>
          <w:rFonts w:ascii="Georgia" w:hAnsi="Georgia"/>
        </w:rPr>
      </w:pPr>
    </w:p>
    <w:p w:rsidR="00537813" w:rsidRDefault="00537813">
      <w:pPr>
        <w:pStyle w:val="Standard"/>
        <w:rPr>
          <w:rFonts w:ascii="Georgia" w:hAnsi="Georgia"/>
        </w:rPr>
      </w:pPr>
    </w:p>
    <w:p w:rsidR="00537813" w:rsidRDefault="00537813">
      <w:pPr>
        <w:pStyle w:val="Standard"/>
        <w:rPr>
          <w:rFonts w:ascii="Georgia" w:hAnsi="Georgia"/>
        </w:rPr>
      </w:pPr>
    </w:p>
    <w:tbl>
      <w:tblPr>
        <w:tblW w:w="9638" w:type="dxa"/>
        <w:tblInd w:w="45" w:type="dxa"/>
        <w:tblLayout w:type="fixed"/>
        <w:tblCellMar>
          <w:left w:w="10" w:type="dxa"/>
          <w:right w:w="10" w:type="dxa"/>
        </w:tblCellMar>
        <w:tblLook w:val="0000" w:firstRow="0" w:lastRow="0" w:firstColumn="0" w:lastColumn="0" w:noHBand="0" w:noVBand="0"/>
      </w:tblPr>
      <w:tblGrid>
        <w:gridCol w:w="9638"/>
      </w:tblGrid>
      <w:tr w:rsidR="00537813">
        <w:tc>
          <w:tcPr>
            <w:tcW w:w="963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537813" w:rsidRDefault="00912472">
            <w:pPr>
              <w:pStyle w:val="Standard"/>
              <w:jc w:val="center"/>
            </w:pPr>
            <w:r>
              <w:rPr>
                <w:rFonts w:ascii="Georgia" w:hAnsi="Georgia"/>
                <w:b/>
              </w:rPr>
              <w:t>C) SISTEMA DI VALUTAZIONE E PREMIALITA’ ASSEGNATE</w:t>
            </w:r>
          </w:p>
        </w:tc>
      </w:tr>
    </w:tbl>
    <w:p w:rsidR="00537813" w:rsidRDefault="00537813">
      <w:pPr>
        <w:pStyle w:val="Standard"/>
        <w:rPr>
          <w:rFonts w:ascii="Georgia" w:hAnsi="Georgia"/>
        </w:rPr>
      </w:pPr>
    </w:p>
    <w:p w:rsidR="00537813" w:rsidRDefault="00912472">
      <w:pPr>
        <w:pStyle w:val="Testonormale"/>
        <w:spacing w:line="360" w:lineRule="auto"/>
        <w:jc w:val="both"/>
      </w:pPr>
      <w:r>
        <w:rPr>
          <w:rFonts w:ascii="Georgia" w:hAnsi="Georgia"/>
          <w:sz w:val="24"/>
        </w:rPr>
        <w:t>Anche per l’annualità 2023 valgono i criteri generali già utilizzati nel pregresso, comunque legati alla performance e, dunque, al merito. I riferimenti sono contenuti nel Contratto D</w:t>
      </w:r>
      <w:r>
        <w:rPr>
          <w:rFonts w:ascii="Georgia" w:hAnsi="Georgia"/>
          <w:sz w:val="24"/>
        </w:rPr>
        <w:t>e</w:t>
      </w:r>
      <w:r>
        <w:rPr>
          <w:rFonts w:ascii="Georgia" w:hAnsi="Georgia"/>
          <w:sz w:val="24"/>
        </w:rPr>
        <w:t>centrato, sottoscritto nel corso dell’annualità di riferimento.</w:t>
      </w:r>
    </w:p>
    <w:p w:rsidR="00537813" w:rsidRDefault="00912472">
      <w:pPr>
        <w:pStyle w:val="Testonormale"/>
        <w:spacing w:line="360" w:lineRule="auto"/>
        <w:jc w:val="both"/>
      </w:pPr>
      <w:r>
        <w:rPr>
          <w:rFonts w:ascii="Georgia" w:hAnsi="Georgia"/>
          <w:sz w:val="24"/>
        </w:rPr>
        <w:t xml:space="preserve">A tali atti contrattuali si conformano le schede di valutazione di tutto il personale dell’Ente, come </w:t>
      </w:r>
      <w:r>
        <w:rPr>
          <w:rFonts w:ascii="Georgia" w:eastAsia="Times New Roman" w:hAnsi="Georgia" w:cs="Calibri"/>
          <w:sz w:val="24"/>
          <w:szCs w:val="24"/>
        </w:rPr>
        <w:t>appunto derivanti dal Contratto Decentrato di comparto e dal Regolamento di org</w:t>
      </w:r>
      <w:r>
        <w:rPr>
          <w:rFonts w:ascii="Georgia" w:eastAsia="Times New Roman" w:hAnsi="Georgia" w:cs="Calibri"/>
          <w:sz w:val="24"/>
          <w:szCs w:val="24"/>
        </w:rPr>
        <w:t>a</w:t>
      </w:r>
      <w:r>
        <w:rPr>
          <w:rFonts w:ascii="Georgia" w:eastAsia="Times New Roman" w:hAnsi="Georgia" w:cs="Calibri"/>
          <w:sz w:val="24"/>
          <w:szCs w:val="24"/>
        </w:rPr>
        <w:t xml:space="preserve">nizzazione degli </w:t>
      </w:r>
      <w:r>
        <w:rPr>
          <w:rFonts w:ascii="Georgia" w:hAnsi="Georgia"/>
          <w:sz w:val="24"/>
        </w:rPr>
        <w:t>uffici e dei servizi.</w:t>
      </w:r>
    </w:p>
    <w:p w:rsidR="00537813" w:rsidRDefault="00912472">
      <w:pPr>
        <w:pStyle w:val="Testonormale"/>
        <w:spacing w:line="360" w:lineRule="auto"/>
        <w:jc w:val="both"/>
      </w:pPr>
      <w:r>
        <w:rPr>
          <w:rFonts w:ascii="Georgia" w:hAnsi="Georgia"/>
          <w:sz w:val="24"/>
        </w:rPr>
        <w:t>Alla base del sistema di valutazione delle prestazioni è stata confermata la distinzione tra la valutazione del raggiungimento degli obiettivi assegnati attraverso il Piano della Perfo</w:t>
      </w:r>
      <w:r>
        <w:rPr>
          <w:rFonts w:ascii="Georgia" w:hAnsi="Georgia"/>
          <w:sz w:val="24"/>
        </w:rPr>
        <w:t>r</w:t>
      </w:r>
      <w:r>
        <w:rPr>
          <w:rFonts w:ascii="Georgia" w:hAnsi="Georgia"/>
          <w:sz w:val="24"/>
        </w:rPr>
        <w:t>mance, e la valutazione del comportamento organizzativo e individuale, il tutto sulla base di elementi descritti e resi noti sia alle organizzazioni sindacali che al personale interessato.</w:t>
      </w:r>
    </w:p>
    <w:p w:rsidR="00537813" w:rsidRDefault="00912472">
      <w:pPr>
        <w:pStyle w:val="Testonormale"/>
        <w:spacing w:line="360" w:lineRule="auto"/>
        <w:jc w:val="both"/>
      </w:pPr>
      <w:r>
        <w:rPr>
          <w:rFonts w:ascii="Georgia" w:hAnsi="Georgia"/>
          <w:sz w:val="24"/>
        </w:rPr>
        <w:t>In applicazione della metodologia di valutazione in uso presso l’Ente per l’esercizio 2023, sono state svolte le relative valutazioni per i Responsabili di Settore, i dipendenti e lo ste</w:t>
      </w:r>
      <w:r>
        <w:rPr>
          <w:rFonts w:ascii="Georgia" w:hAnsi="Georgia"/>
          <w:sz w:val="24"/>
        </w:rPr>
        <w:t>s</w:t>
      </w:r>
      <w:r>
        <w:rPr>
          <w:rFonts w:ascii="Georgia" w:hAnsi="Georgia"/>
          <w:sz w:val="24"/>
        </w:rPr>
        <w:t>so Segretario Generale.</w:t>
      </w:r>
    </w:p>
    <w:p w:rsidR="00537813" w:rsidRDefault="00912472">
      <w:pPr>
        <w:pStyle w:val="Testonormale"/>
        <w:spacing w:line="360" w:lineRule="auto"/>
        <w:jc w:val="both"/>
      </w:pPr>
      <w:r>
        <w:rPr>
          <w:rFonts w:ascii="Georgia" w:hAnsi="Georgia"/>
          <w:sz w:val="24"/>
        </w:rPr>
        <w:t>Per i primi, le valutazioni sono demandate al Nucleo di Valutazione e sottoposte poi all’Amministrazione per la definitiva approvazione.</w:t>
      </w:r>
    </w:p>
    <w:p w:rsidR="00537813" w:rsidRDefault="00912472">
      <w:pPr>
        <w:pStyle w:val="Testonormale"/>
        <w:spacing w:line="360" w:lineRule="auto"/>
        <w:jc w:val="both"/>
      </w:pPr>
      <w:r>
        <w:rPr>
          <w:rFonts w:ascii="Georgia" w:hAnsi="Georgia"/>
          <w:sz w:val="24"/>
        </w:rPr>
        <w:lastRenderedPageBreak/>
        <w:t>Il relativo riconoscimento delle retribuzioni di risultato, a seguito di formale approvazione da parte della Giunta comunale delle valutazioni effettuate da parte del Nucleo di Valut</w:t>
      </w:r>
      <w:r>
        <w:rPr>
          <w:rFonts w:ascii="Georgia" w:hAnsi="Georgia"/>
          <w:sz w:val="24"/>
        </w:rPr>
        <w:t>a</w:t>
      </w:r>
      <w:r>
        <w:rPr>
          <w:rFonts w:ascii="Georgia" w:hAnsi="Georgia"/>
          <w:sz w:val="24"/>
        </w:rPr>
        <w:t>zione, viene effettuato con atto gestionale.</w:t>
      </w:r>
    </w:p>
    <w:p w:rsidR="00537813" w:rsidRDefault="00912472">
      <w:pPr>
        <w:pStyle w:val="Testonormale"/>
        <w:spacing w:line="360" w:lineRule="auto"/>
        <w:jc w:val="both"/>
      </w:pPr>
      <w:r>
        <w:rPr>
          <w:rFonts w:ascii="Georgia" w:hAnsi="Georgia"/>
          <w:sz w:val="24"/>
        </w:rPr>
        <w:t>Per i secondi, le valutazioni sono avvenute a cura dei Responsabili di Settore tramite le a</w:t>
      </w:r>
      <w:r>
        <w:rPr>
          <w:rFonts w:ascii="Georgia" w:hAnsi="Georgia"/>
          <w:sz w:val="24"/>
        </w:rPr>
        <w:t>p</w:t>
      </w:r>
      <w:r>
        <w:rPr>
          <w:rFonts w:ascii="Georgia" w:hAnsi="Georgia"/>
          <w:sz w:val="24"/>
        </w:rPr>
        <w:t>posite schede, secondo l’individuazione ed elencazione dei criteri contenute nelle schede – obiettivi.</w:t>
      </w:r>
    </w:p>
    <w:p w:rsidR="00537813" w:rsidRDefault="00912472">
      <w:pPr>
        <w:pStyle w:val="Testonormale"/>
        <w:spacing w:line="360" w:lineRule="auto"/>
        <w:jc w:val="both"/>
      </w:pPr>
      <w:r>
        <w:rPr>
          <w:rFonts w:ascii="Georgia" w:eastAsia="Times New Roman" w:hAnsi="Georgia" w:cs="Calibri"/>
          <w:sz w:val="24"/>
          <w:szCs w:val="24"/>
        </w:rPr>
        <w:t xml:space="preserve">Con riferimento alla tempistica di premialità del Segretario generale, </w:t>
      </w:r>
      <w:r>
        <w:rPr>
          <w:rFonts w:ascii="Georgia" w:hAnsi="Georgia"/>
          <w:sz w:val="24"/>
        </w:rPr>
        <w:t>si è proceduto para</w:t>
      </w:r>
      <w:r>
        <w:rPr>
          <w:rFonts w:ascii="Georgia" w:hAnsi="Georgia"/>
          <w:sz w:val="24"/>
        </w:rPr>
        <w:t>l</w:t>
      </w:r>
      <w:r>
        <w:rPr>
          <w:rFonts w:ascii="Georgia" w:hAnsi="Georgia"/>
          <w:sz w:val="24"/>
        </w:rPr>
        <w:t>lelamente alla valutazione dei dipendenti dei livelli e del personale apicale.</w:t>
      </w:r>
    </w:p>
    <w:p w:rsidR="00537813" w:rsidRDefault="00537813">
      <w:pPr>
        <w:pStyle w:val="Standard"/>
        <w:jc w:val="both"/>
        <w:rPr>
          <w:rFonts w:ascii="Georgia" w:hAnsi="Georgia"/>
        </w:rPr>
      </w:pPr>
    </w:p>
    <w:p w:rsidR="00537813" w:rsidRDefault="00537813">
      <w:pPr>
        <w:pStyle w:val="Standard"/>
        <w:jc w:val="both"/>
        <w:rPr>
          <w:rFonts w:ascii="Georgia" w:hAnsi="Georgia"/>
        </w:rPr>
      </w:pPr>
    </w:p>
    <w:tbl>
      <w:tblPr>
        <w:tblW w:w="9638" w:type="dxa"/>
        <w:tblInd w:w="45" w:type="dxa"/>
        <w:tblLayout w:type="fixed"/>
        <w:tblCellMar>
          <w:left w:w="10" w:type="dxa"/>
          <w:right w:w="10" w:type="dxa"/>
        </w:tblCellMar>
        <w:tblLook w:val="0000" w:firstRow="0" w:lastRow="0" w:firstColumn="0" w:lastColumn="0" w:noHBand="0" w:noVBand="0"/>
      </w:tblPr>
      <w:tblGrid>
        <w:gridCol w:w="9638"/>
      </w:tblGrid>
      <w:tr w:rsidR="00537813">
        <w:tc>
          <w:tcPr>
            <w:tcW w:w="963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537813" w:rsidRDefault="00912472">
            <w:pPr>
              <w:pStyle w:val="Standard"/>
              <w:jc w:val="center"/>
            </w:pPr>
            <w:r>
              <w:rPr>
                <w:rFonts w:ascii="Georgia" w:eastAsia="Times New Roman" w:hAnsi="Georgia" w:cs="Calibri"/>
                <w:b/>
              </w:rPr>
              <w:t>CONSIDERAZIONI FINALI</w:t>
            </w:r>
          </w:p>
        </w:tc>
      </w:tr>
    </w:tbl>
    <w:p w:rsidR="00537813" w:rsidRDefault="00537813">
      <w:pPr>
        <w:pStyle w:val="Standard"/>
        <w:jc w:val="both"/>
        <w:rPr>
          <w:rFonts w:ascii="Georgia" w:hAnsi="Georgia"/>
        </w:rPr>
      </w:pPr>
    </w:p>
    <w:p w:rsidR="00537813" w:rsidRDefault="00537813">
      <w:pPr>
        <w:pStyle w:val="Standard"/>
        <w:rPr>
          <w:rFonts w:ascii="Georgia" w:hAnsi="Georgia"/>
        </w:rPr>
      </w:pPr>
    </w:p>
    <w:p w:rsidR="00537813" w:rsidRDefault="00912472">
      <w:pPr>
        <w:pStyle w:val="Testonormale"/>
        <w:spacing w:line="360" w:lineRule="auto"/>
        <w:jc w:val="both"/>
      </w:pPr>
      <w:r>
        <w:rPr>
          <w:rFonts w:ascii="Georgia" w:hAnsi="Georgia"/>
          <w:sz w:val="24"/>
        </w:rPr>
        <w:t>Come già affermato, la metodologia operativa adottata al Comune di Castel Maggiore è r</w:t>
      </w:r>
      <w:r>
        <w:rPr>
          <w:rFonts w:ascii="Georgia" w:hAnsi="Georgia"/>
          <w:sz w:val="24"/>
        </w:rPr>
        <w:t>i</w:t>
      </w:r>
      <w:r>
        <w:rPr>
          <w:rFonts w:ascii="Georgia" w:hAnsi="Georgia"/>
          <w:sz w:val="24"/>
        </w:rPr>
        <w:t>sultata in linea ed adeguata alle disposizioni del D.Lgs. 150/2009.</w:t>
      </w:r>
    </w:p>
    <w:p w:rsidR="00537813" w:rsidRDefault="00912472">
      <w:pPr>
        <w:pStyle w:val="Testonormale"/>
        <w:spacing w:line="360" w:lineRule="auto"/>
        <w:jc w:val="both"/>
      </w:pPr>
      <w:r>
        <w:rPr>
          <w:rFonts w:ascii="Georgia" w:hAnsi="Georgia"/>
          <w:sz w:val="24"/>
        </w:rPr>
        <w:t>Può concludersi e affermarsi che gli obiettivi inseriti nella sez. 2.2. del Piao - Piano della Performance, sono stati nel complesso raggiunti.</w:t>
      </w:r>
    </w:p>
    <w:p w:rsidR="00537813" w:rsidRDefault="00537813">
      <w:pPr>
        <w:pStyle w:val="Standard"/>
        <w:rPr>
          <w:rFonts w:ascii="Georgia" w:hAnsi="Georgia"/>
        </w:rPr>
      </w:pPr>
    </w:p>
    <w:p w:rsidR="00537813" w:rsidRDefault="00912472">
      <w:pPr>
        <w:pStyle w:val="Standard"/>
      </w:pPr>
      <w:r>
        <w:rPr>
          <w:rFonts w:ascii="Georgia" w:eastAsia="Times New Roman" w:hAnsi="Georgia" w:cs="Calibri"/>
          <w:i/>
        </w:rPr>
        <w:t>Castel Maggiore, lì 24 aprile 2024</w:t>
      </w:r>
    </w:p>
    <w:p w:rsidR="00537813" w:rsidRDefault="00912472">
      <w:pPr>
        <w:pStyle w:val="Standard"/>
        <w:rPr>
          <w:rFonts w:ascii="Georgia" w:hAnsi="Georgia"/>
        </w:rPr>
      </w:pP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t>Il Segretario Generale</w:t>
      </w:r>
    </w:p>
    <w:p w:rsidR="00537813" w:rsidRDefault="00912472">
      <w:pPr>
        <w:pStyle w:val="Standard"/>
        <w:ind w:left="5672" w:firstLine="709"/>
        <w:rPr>
          <w:rFonts w:ascii="Georgia" w:hAnsi="Georgia"/>
        </w:rPr>
      </w:pPr>
      <w:r>
        <w:rPr>
          <w:rFonts w:ascii="Georgia" w:hAnsi="Georgia"/>
        </w:rPr>
        <w:t xml:space="preserve">      Monica Tardella</w:t>
      </w:r>
    </w:p>
    <w:p w:rsidR="00537813" w:rsidRDefault="00912472">
      <w:pPr>
        <w:pStyle w:val="Standard"/>
        <w:ind w:left="5672"/>
      </w:pPr>
      <w:r>
        <w:rPr>
          <w:rFonts w:ascii="Georgia" w:hAnsi="Georgia"/>
          <w:i/>
        </w:rPr>
        <w:t>(documento  firmato digitalmente)</w:t>
      </w:r>
    </w:p>
    <w:sectPr w:rsidR="00537813">
      <w:footerReference w:type="default" r:id="rId9"/>
      <w:pgSz w:w="11906" w:h="16838"/>
      <w:pgMar w:top="720"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D9F" w:rsidRDefault="00912472">
      <w:r>
        <w:separator/>
      </w:r>
    </w:p>
  </w:endnote>
  <w:endnote w:type="continuationSeparator" w:id="0">
    <w:p w:rsidR="00E53D9F" w:rsidRDefault="00912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Helvetica Neue">
    <w:charset w:val="00"/>
    <w:family w:val="swiss"/>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F2D" w:rsidRDefault="00912472">
    <w:pPr>
      <w:pStyle w:val="Pidipagina"/>
      <w:jc w:val="center"/>
    </w:pPr>
    <w:r>
      <w:fldChar w:fldCharType="begin"/>
    </w:r>
    <w:r>
      <w:instrText xml:space="preserve"> PAGE </w:instrText>
    </w:r>
    <w:r>
      <w:fldChar w:fldCharType="separate"/>
    </w:r>
    <w:r w:rsidR="000F18BC">
      <w:rPr>
        <w:noProof/>
      </w:rPr>
      <w:t>1</w:t>
    </w:r>
    <w:r>
      <w:fldChar w:fldCharType="end"/>
    </w:r>
  </w:p>
  <w:p w:rsidR="00FD7F2D" w:rsidRDefault="000F18BC">
    <w:pPr>
      <w:pStyle w:val="Pidipagina"/>
      <w:jc w:val="center"/>
      <w:rPr>
        <w:rFonts w:ascii="Georgia" w:hAnsi="Georgia"/>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D9F" w:rsidRDefault="00912472">
      <w:r>
        <w:rPr>
          <w:color w:val="000000"/>
        </w:rPr>
        <w:separator/>
      </w:r>
    </w:p>
  </w:footnote>
  <w:footnote w:type="continuationSeparator" w:id="0">
    <w:p w:rsidR="00E53D9F" w:rsidRDefault="009124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537813"/>
    <w:rsid w:val="000F18BC"/>
    <w:rsid w:val="00537813"/>
    <w:rsid w:val="00912472"/>
    <w:rsid w:val="00E53D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Mangal"/>
        <w:kern w:val="3"/>
        <w:sz w:val="24"/>
        <w:szCs w:val="24"/>
        <w:lang w:val="it-IT" w:eastAsia="zh-CN" w:bidi="hi-IN"/>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pPr>
      <w:suppressAutoHyphens/>
    </w:pPr>
  </w:style>
  <w:style w:type="paragraph" w:styleId="Titolo1">
    <w:name w:val="heading 1"/>
    <w:basedOn w:val="Standard"/>
    <w:next w:val="Textbody"/>
    <w:pPr>
      <w:widowControl w:val="0"/>
      <w:autoSpaceDE w:val="0"/>
      <w:spacing w:before="77" w:line="642" w:lineRule="exact"/>
      <w:ind w:left="30"/>
      <w:jc w:val="center"/>
      <w:outlineLvl w:val="0"/>
    </w:pPr>
    <w:rPr>
      <w:rFonts w:ascii="Times New Roman" w:eastAsia="Times New Roman" w:hAnsi="Times New Roman" w:cs="Times New Roman"/>
      <w:b/>
      <w:bCs/>
      <w:sz w:val="56"/>
      <w:szCs w:val="5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widowControl w:val="0"/>
      <w:suppressLineNumbers/>
    </w:pPr>
  </w:style>
  <w:style w:type="paragraph" w:customStyle="1" w:styleId="HeaderandFooter">
    <w:name w:val="Header and Footer"/>
    <w:basedOn w:val="Standard"/>
    <w:pPr>
      <w:suppressLineNumbers/>
      <w:tabs>
        <w:tab w:val="center" w:pos="4819"/>
        <w:tab w:val="right" w:pos="9638"/>
      </w:tabs>
    </w:pPr>
  </w:style>
  <w:style w:type="paragraph" w:styleId="Pidipagina">
    <w:name w:val="footer"/>
    <w:basedOn w:val="HeaderandFooter"/>
  </w:style>
  <w:style w:type="paragraph" w:styleId="Testofumetto">
    <w:name w:val="Balloon Text"/>
    <w:basedOn w:val="Normale"/>
    <w:rPr>
      <w:rFonts w:ascii="Tahoma" w:hAnsi="Tahoma"/>
      <w:sz w:val="16"/>
      <w:szCs w:val="14"/>
    </w:rPr>
  </w:style>
  <w:style w:type="paragraph" w:styleId="Testonormale">
    <w:name w:val="Plain Text"/>
    <w:basedOn w:val="Normale"/>
    <w:pPr>
      <w:suppressAutoHyphens w:val="0"/>
      <w:textAlignment w:val="auto"/>
    </w:pPr>
    <w:rPr>
      <w:rFonts w:ascii="Courier" w:eastAsia="Times" w:hAnsi="Courier" w:cs="Times New Roman"/>
      <w:kern w:val="0"/>
      <w:sz w:val="21"/>
      <w:szCs w:val="21"/>
      <w:lang w:bidi="ar-SA"/>
    </w:rPr>
  </w:style>
  <w:style w:type="paragraph" w:styleId="Intestazione">
    <w:name w:val="header"/>
    <w:basedOn w:val="Normale"/>
    <w:pPr>
      <w:tabs>
        <w:tab w:val="center" w:pos="4819"/>
        <w:tab w:val="right" w:pos="9638"/>
      </w:tabs>
    </w:pPr>
    <w:rPr>
      <w:szCs w:val="21"/>
    </w:rPr>
  </w:style>
  <w:style w:type="paragraph" w:styleId="Nessunaspaziatura">
    <w:name w:val="No Spacing"/>
    <w:pPr>
      <w:textAlignment w:val="auto"/>
    </w:pPr>
    <w:rPr>
      <w:rFonts w:ascii="Calibri" w:eastAsia="Times New Roman" w:hAnsi="Calibri" w:cs="Times New Roman"/>
      <w:kern w:val="0"/>
      <w:sz w:val="22"/>
      <w:szCs w:val="22"/>
      <w:lang w:eastAsia="it-IT" w:bidi="ar-SA"/>
    </w:rPr>
  </w:style>
  <w:style w:type="character" w:customStyle="1" w:styleId="TestofumettoCarattere">
    <w:name w:val="Testo fumetto Carattere"/>
    <w:basedOn w:val="Carpredefinitoparagrafo"/>
    <w:rPr>
      <w:rFonts w:ascii="Tahoma" w:hAnsi="Tahoma"/>
      <w:sz w:val="16"/>
      <w:szCs w:val="14"/>
    </w:rPr>
  </w:style>
  <w:style w:type="character" w:customStyle="1" w:styleId="TestonormaleCarattere">
    <w:name w:val="Testo normale Carattere"/>
    <w:basedOn w:val="Carpredefinitoparagrafo"/>
    <w:rPr>
      <w:rFonts w:ascii="Courier" w:eastAsia="Times" w:hAnsi="Courier" w:cs="Times New Roman"/>
      <w:kern w:val="0"/>
      <w:sz w:val="21"/>
      <w:szCs w:val="21"/>
      <w:lang w:bidi="ar-SA"/>
    </w:rPr>
  </w:style>
  <w:style w:type="character" w:customStyle="1" w:styleId="IntestazioneCarattere">
    <w:name w:val="Intestazione Carattere"/>
    <w:basedOn w:val="Carpredefinitoparagrafo"/>
    <w:rPr>
      <w:szCs w:val="21"/>
    </w:rPr>
  </w:style>
  <w:style w:type="character" w:customStyle="1" w:styleId="PidipaginaCarattere">
    <w:name w:val="Piè di pagina Carattere"/>
    <w:basedOn w:val="Carpredefinitoparagrafo"/>
  </w:style>
  <w:style w:type="character" w:customStyle="1" w:styleId="NessunaspaziaturaCarattere">
    <w:name w:val="Nessuna spaziatura Carattere"/>
    <w:basedOn w:val="Carpredefinitoparagrafo"/>
    <w:rPr>
      <w:rFonts w:ascii="Calibri" w:eastAsia="Times New Roman" w:hAnsi="Calibri" w:cs="Times New Roman"/>
      <w:kern w:val="0"/>
      <w:sz w:val="22"/>
      <w:szCs w:val="22"/>
      <w:lang w:eastAsia="it-IT"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Mangal"/>
        <w:kern w:val="3"/>
        <w:sz w:val="24"/>
        <w:szCs w:val="24"/>
        <w:lang w:val="it-IT" w:eastAsia="zh-CN" w:bidi="hi-IN"/>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pPr>
      <w:suppressAutoHyphens/>
    </w:pPr>
  </w:style>
  <w:style w:type="paragraph" w:styleId="Titolo1">
    <w:name w:val="heading 1"/>
    <w:basedOn w:val="Standard"/>
    <w:next w:val="Textbody"/>
    <w:pPr>
      <w:widowControl w:val="0"/>
      <w:autoSpaceDE w:val="0"/>
      <w:spacing w:before="77" w:line="642" w:lineRule="exact"/>
      <w:ind w:left="30"/>
      <w:jc w:val="center"/>
      <w:outlineLvl w:val="0"/>
    </w:pPr>
    <w:rPr>
      <w:rFonts w:ascii="Times New Roman" w:eastAsia="Times New Roman" w:hAnsi="Times New Roman" w:cs="Times New Roman"/>
      <w:b/>
      <w:bCs/>
      <w:sz w:val="56"/>
      <w:szCs w:val="5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widowControl w:val="0"/>
      <w:suppressLineNumbers/>
    </w:pPr>
  </w:style>
  <w:style w:type="paragraph" w:customStyle="1" w:styleId="HeaderandFooter">
    <w:name w:val="Header and Footer"/>
    <w:basedOn w:val="Standard"/>
    <w:pPr>
      <w:suppressLineNumbers/>
      <w:tabs>
        <w:tab w:val="center" w:pos="4819"/>
        <w:tab w:val="right" w:pos="9638"/>
      </w:tabs>
    </w:pPr>
  </w:style>
  <w:style w:type="paragraph" w:styleId="Pidipagina">
    <w:name w:val="footer"/>
    <w:basedOn w:val="HeaderandFooter"/>
  </w:style>
  <w:style w:type="paragraph" w:styleId="Testofumetto">
    <w:name w:val="Balloon Text"/>
    <w:basedOn w:val="Normale"/>
    <w:rPr>
      <w:rFonts w:ascii="Tahoma" w:hAnsi="Tahoma"/>
      <w:sz w:val="16"/>
      <w:szCs w:val="14"/>
    </w:rPr>
  </w:style>
  <w:style w:type="paragraph" w:styleId="Testonormale">
    <w:name w:val="Plain Text"/>
    <w:basedOn w:val="Normale"/>
    <w:pPr>
      <w:suppressAutoHyphens w:val="0"/>
      <w:textAlignment w:val="auto"/>
    </w:pPr>
    <w:rPr>
      <w:rFonts w:ascii="Courier" w:eastAsia="Times" w:hAnsi="Courier" w:cs="Times New Roman"/>
      <w:kern w:val="0"/>
      <w:sz w:val="21"/>
      <w:szCs w:val="21"/>
      <w:lang w:bidi="ar-SA"/>
    </w:rPr>
  </w:style>
  <w:style w:type="paragraph" w:styleId="Intestazione">
    <w:name w:val="header"/>
    <w:basedOn w:val="Normale"/>
    <w:pPr>
      <w:tabs>
        <w:tab w:val="center" w:pos="4819"/>
        <w:tab w:val="right" w:pos="9638"/>
      </w:tabs>
    </w:pPr>
    <w:rPr>
      <w:szCs w:val="21"/>
    </w:rPr>
  </w:style>
  <w:style w:type="paragraph" w:styleId="Nessunaspaziatura">
    <w:name w:val="No Spacing"/>
    <w:pPr>
      <w:textAlignment w:val="auto"/>
    </w:pPr>
    <w:rPr>
      <w:rFonts w:ascii="Calibri" w:eastAsia="Times New Roman" w:hAnsi="Calibri" w:cs="Times New Roman"/>
      <w:kern w:val="0"/>
      <w:sz w:val="22"/>
      <w:szCs w:val="22"/>
      <w:lang w:eastAsia="it-IT" w:bidi="ar-SA"/>
    </w:rPr>
  </w:style>
  <w:style w:type="character" w:customStyle="1" w:styleId="TestofumettoCarattere">
    <w:name w:val="Testo fumetto Carattere"/>
    <w:basedOn w:val="Carpredefinitoparagrafo"/>
    <w:rPr>
      <w:rFonts w:ascii="Tahoma" w:hAnsi="Tahoma"/>
      <w:sz w:val="16"/>
      <w:szCs w:val="14"/>
    </w:rPr>
  </w:style>
  <w:style w:type="character" w:customStyle="1" w:styleId="TestonormaleCarattere">
    <w:name w:val="Testo normale Carattere"/>
    <w:basedOn w:val="Carpredefinitoparagrafo"/>
    <w:rPr>
      <w:rFonts w:ascii="Courier" w:eastAsia="Times" w:hAnsi="Courier" w:cs="Times New Roman"/>
      <w:kern w:val="0"/>
      <w:sz w:val="21"/>
      <w:szCs w:val="21"/>
      <w:lang w:bidi="ar-SA"/>
    </w:rPr>
  </w:style>
  <w:style w:type="character" w:customStyle="1" w:styleId="IntestazioneCarattere">
    <w:name w:val="Intestazione Carattere"/>
    <w:basedOn w:val="Carpredefinitoparagrafo"/>
    <w:rPr>
      <w:szCs w:val="21"/>
    </w:rPr>
  </w:style>
  <w:style w:type="character" w:customStyle="1" w:styleId="PidipaginaCarattere">
    <w:name w:val="Piè di pagina Carattere"/>
    <w:basedOn w:val="Carpredefinitoparagrafo"/>
  </w:style>
  <w:style w:type="character" w:customStyle="1" w:styleId="NessunaspaziaturaCarattere">
    <w:name w:val="Nessuna spaziatura Carattere"/>
    <w:basedOn w:val="Carpredefinitoparagrafo"/>
    <w:rPr>
      <w:rFonts w:ascii="Calibri" w:eastAsia="Times New Roman" w:hAnsi="Calibri" w:cs="Times New Roman"/>
      <w:kern w:val="0"/>
      <w:sz w:val="22"/>
      <w:szCs w:val="22"/>
      <w:lang w:eastAsia="it-I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Datagraph\CM\Atti.Net\C9E88644.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C9E88644.dotm</Template>
  <TotalTime>0</TotalTime>
  <Pages>7</Pages>
  <Words>1766</Words>
  <Characters>10067</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RG</Company>
  <LinksUpToDate>false</LinksUpToDate>
  <CharactersWithSpaces>11810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Tardella</dc:creator>
  <cp:lastModifiedBy>RG</cp:lastModifiedBy>
  <cp:revision>2</cp:revision>
  <cp:lastPrinted>2024-04-24T18:24:00Z</cp:lastPrinted>
  <dcterms:created xsi:type="dcterms:W3CDTF">2024-05-28T13:39:00Z</dcterms:created>
  <dcterms:modified xsi:type="dcterms:W3CDTF">2024-05-28T13:39:00Z</dcterms:modified>
</cp:coreProperties>
</file>